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תאחיזת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ואוורור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לשגשוג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והיווצרות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ארומטיים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('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ההומיפיקציה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שנחשפו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('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המעגלי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והאקולוגי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מודל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ההומיפיקציה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מולקולריים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מודל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המעגלי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מודל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המעגלי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בתווך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ממושך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הפסולת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וגופי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המיקרואוגניזמים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ההשתמרות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מיקרואורגניזמים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כקטליזטור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ומאידך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התלכידי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חמצני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ופיזיות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מרחביות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spacing w:line="360" w:lineRule="auto"/>
        <w:jc w:val="both"/>
        <w:rPr/>
      </w:pPr>
      <w:commentRangeStart w:id="0"/>
      <w:commentRangeStart w:id="1"/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קונבנציונלי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הסביבתית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צחיחים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וצחיחים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דלדול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נדגמו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בקומפוסט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אורגני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מינרלי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b w:val="1"/>
          <w:rtl w:val="1"/>
        </w:rPr>
        <w:t xml:space="preserve">בלתי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מעובד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מנוגדים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אורגני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מינרלי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ארידיים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הותוותה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יישמו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both"/>
        <w:rPr>
          <w:color w:val="ff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 </w:t>
      </w:r>
      <w:commentRangeStart w:id="2"/>
      <w:commentRangeStart w:id="3"/>
      <w:r w:rsidDel="00000000" w:rsidR="00000000" w:rsidRPr="00000000">
        <w:rPr>
          <w:rtl w:val="1"/>
        </w:rPr>
        <w:t xml:space="preserve">והמדדים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הנוספים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המינרלי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ביואמסה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קונבציונלי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 .  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קומפוסט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הרטבה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הודגרו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מזוקקים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ביקורת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0, 7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-14.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ארגוסטרול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ספרופיטיות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קומפוסט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בהרטבה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ניצול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המינרלי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במינרלי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מהפרקציה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5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הופסקו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האורגניות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קונבנציונלי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הצמחית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Productivity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spacing w:line="360" w:lineRule="auto"/>
        <w:jc w:val="both"/>
        <w:rPr/>
      </w:pPr>
      <w:commentRangeStart w:id="6"/>
      <w:commentRangeStart w:id="7"/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קונבנציונלי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קונבציונלי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C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ביואמסה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both"/>
        <w:rPr/>
      </w:pP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יוחסה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בפרופורציות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הפעילה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והשכיחות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המיקרוביאלית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בקרקע</w:t>
      </w:r>
      <w:r w:rsidDel="00000000" w:rsidR="00000000" w:rsidRPr="00000000">
        <w:rPr>
          <w:rtl w:val="1"/>
        </w:rPr>
        <w:t xml:space="preserve">.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firstLine="0"/>
        <w:jc w:val="both"/>
        <w:rPr/>
      </w:pP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וםרקציות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מיקרוביאלית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תלכידים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להרטבה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המעובדים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ומינרלי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האינקובציה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הסובסטרט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er Bar-tal" w:id="4" w:date="2020-11-01T09:46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</w:p>
  </w:comment>
  <w:comment w:author="elan braude" w:id="5" w:date="2020-11-19T13:24:0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הדינמיקה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</w:t>
      </w:r>
    </w:p>
  </w:comment>
  <w:comment w:author="Asher Bar-tal" w:id="2" w:date="2020-11-01T09:20:0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המדדים</w:t>
      </w:r>
    </w:p>
  </w:comment>
  <w:comment w:author="elan braude" w:id="3" w:date="2020-11-19T13:19:5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her Bar-tal" w:id="6" w:date="2020-11-01T09:59:0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elan braude" w:id="7" w:date="2020-12-12T15:37:4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התקציר</w:t>
      </w:r>
    </w:p>
  </w:comment>
  <w:comment w:author="Asher Bar-tal" w:id="0" w:date="2020-11-01T09:18:0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elan braude" w:id="1" w:date="2020-12-12T15:36:5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bidi w:val="1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