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
        <w:jc w:val="center"/>
      </w:pPr>
      <w:r>
        <w:rPr>
          <w:rFonts w:ascii="Arial" w:cs="Arial" w:eastAsia="Arial" w:hAnsi="Arial"/>
          <w:b/>
          <w:bCs/>
          <w:color w:val="1B3A5C"/>
          <w:sz w:val="72"/>
          <w:szCs w:val="72"/>
        </w:rPr>
        <w:t xml:space="preserve">SIMBES</w:t>
      </w:r>
    </w:p>
    <w:p>
      <w:pPr>
        <w:spacing w:before="0" w:after="40"/>
        <w:jc w:val="center"/>
      </w:pPr>
      <w:r>
        <w:rPr>
          <w:rFonts w:ascii="Arial" w:cs="Arial" w:eastAsia="Arial" w:hAnsi="Arial"/>
          <w:color w:val="1A7A6E"/>
          <w:sz w:val="32"/>
          <w:szCs w:val="32"/>
        </w:rPr>
        <w:t xml:space="preserve">Simulador Operativo de Bombeo Electrosumergible</w:t>
      </w:r>
    </w:p>
    <w:p>
      <w:pPr>
        <w:spacing w:before="60" w:after="400"/>
        <w:jc w:val="center"/>
      </w:pPr>
      <w:r>
        <w:rPr>
          <w:rFonts w:ascii="Arial" w:cs="Arial" w:eastAsia="Arial" w:hAnsi="Arial"/>
          <w:i/>
          <w:iCs/>
          <w:color w:val="3E6B8A"/>
          <w:sz w:val="24"/>
          <w:szCs w:val="24"/>
        </w:rPr>
        <w:t xml:space="preserve">Documento de Arquitectura Conceptual y Funcional</w:t>
      </w:r>
    </w:p>
    <w:p>
      <w:pPr>
        <w:spacing w:before="0" w:after="60"/>
        <w:jc w:val="center"/>
      </w:pPr>
      <w:r>
        <w:rPr>
          <w:rFonts w:ascii="Arial" w:cs="Arial" w:eastAsia="Arial" w:hAnsi="Arial"/>
          <w:color w:val="4A4A4A"/>
          <w:sz w:val="22"/>
          <w:szCs w:val="22"/>
        </w:rPr>
        <w:t xml:space="preserve">Versión 1.0  —  Marzo 2026</w:t>
      </w:r>
    </w:p>
    <w:p>
      <w:pPr>
        <w:spacing w:before="0" w:after="60"/>
        <w:jc w:val="center"/>
      </w:pPr>
      <w:r>
        <w:rPr>
          <w:rFonts w:ascii="Arial" w:cs="Arial" w:eastAsia="Arial" w:hAnsi="Arial"/>
          <w:color w:val="4A4A4A"/>
          <w:sz w:val="22"/>
          <w:szCs w:val="22"/>
        </w:rPr>
        <w:t xml:space="preserve">Preparado para: Equipos de Producto e Ingeniería de Producción</w:t>
      </w:r>
    </w:p>
    <w:p>
      <w:pPr>
        <w:spacing w:before="0" w:after="80"/>
        <w:jc w:val="center"/>
      </w:pPr>
      <w:r>
        <w:rPr>
          <w:rFonts w:ascii="Arial" w:cs="Arial" w:eastAsia="Arial" w:hAnsi="Arial"/>
          <w:b/>
          <w:bCs/>
          <w:color w:val="C8760A"/>
          <w:sz w:val="22"/>
          <w:szCs w:val="22"/>
        </w:rPr>
        <w:t xml:space="preserve">Clasificación: Uso Interno / Confidencial</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1. Resumen Ejecutivo</w:t>
      </w:r>
    </w:p>
    <w:p>
      <w:pPr>
        <w:spacing w:before="60" w:after="60"/>
      </w:pPr>
      <w:r>
        <w:rPr>
          <w:rFonts w:ascii="Arial" w:cs="Arial" w:eastAsia="Arial" w:hAnsi="Arial"/>
          <w:color w:val="4A4A4A"/>
          <w:sz w:val="22"/>
          <w:szCs w:val="22"/>
        </w:rPr>
        <w:t xml:space="preserve">SIMBES es una aplicación de simulación operativa diseñada para acelerar la formación práctica de ingenieros de producción junior en el dominio de los sistemas de Bombeo Electrosumergible (BES/ESP). El simulador traduce los complejos principios físicos, hidráulicos y eléctricos de los sistemas BES en experiencias interactivas, visuales y guiadas, que permiten al usuario experimentar con escenarios reales sin riesgo operacional ni costo de campo.</w:t>
      </w:r>
    </w:p>
    <w:p>
      <w:pPr>
        <w:spacing w:before="60" w:after="60"/>
      </w:pPr>
      <w:r>
        <w:t xml:space="preserve"/>
      </w:r>
    </w:p>
    <w:p>
      <w:pPr>
        <w:spacing w:before="60" w:after="60"/>
      </w:pPr>
      <w:r>
        <w:rPr>
          <w:rFonts w:ascii="Arial" w:cs="Arial" w:eastAsia="Arial" w:hAnsi="Arial"/>
          <w:color w:val="4A4A4A"/>
          <w:sz w:val="22"/>
          <w:szCs w:val="22"/>
        </w:rPr>
        <w:t xml:space="preserve">El valor central de SIMBES radica en tres dimensiones estratégicas:</w:t>
      </w:r>
    </w:p>
    <w:p>
      <w:pPr>
        <w:pStyle w:val="ListParagraph"/>
        <w:numPr>
          <w:ilvl w:val="0"/>
          <w:numId w:val="2"/>
        </w:numPr>
        <w:spacing w:before="40" w:after="40"/>
      </w:pPr>
      <w:r>
        <w:rPr>
          <w:rFonts w:ascii="Arial" w:cs="Arial" w:eastAsia="Arial" w:hAnsi="Arial"/>
          <w:color w:val="4A4A4A"/>
          <w:sz w:val="22"/>
          <w:szCs w:val="22"/>
        </w:rPr>
        <w:t xml:space="preserve">Aceleración del aprendizaje: reduce el tiempo de curva de competencia de ingenieros junior de 18–24 meses a un horizonte objetivo de 6–9 meses mediante práctica deliberada estructurada.</w:t>
      </w:r>
    </w:p>
    <w:p>
      <w:pPr>
        <w:pStyle w:val="ListParagraph"/>
        <w:numPr>
          <w:ilvl w:val="0"/>
          <w:numId w:val="2"/>
        </w:numPr>
        <w:spacing w:before="40" w:after="40"/>
      </w:pPr>
      <w:r>
        <w:rPr>
          <w:rFonts w:ascii="Arial" w:cs="Arial" w:eastAsia="Arial" w:hAnsi="Arial"/>
          <w:color w:val="4A4A4A"/>
          <w:sz w:val="22"/>
          <w:szCs w:val="22"/>
        </w:rPr>
        <w:t xml:space="preserve">Reducción de errores de diseño: permite al usuario experimentar con consecuencias de decisiones erróneas (sobredimensionamiento de bomba, subestimación de gas, selección incorrecta de cable) en un entorno seguro.</w:t>
      </w:r>
    </w:p>
    <w:p>
      <w:pPr>
        <w:pStyle w:val="ListParagraph"/>
        <w:numPr>
          <w:ilvl w:val="0"/>
          <w:numId w:val="2"/>
        </w:numPr>
        <w:spacing w:before="40" w:after="40"/>
      </w:pPr>
      <w:r>
        <w:rPr>
          <w:rFonts w:ascii="Arial" w:cs="Arial" w:eastAsia="Arial" w:hAnsi="Arial"/>
          <w:color w:val="4A4A4A"/>
          <w:sz w:val="22"/>
          <w:szCs w:val="22"/>
        </w:rPr>
        <w:t xml:space="preserve">Estandarización del conocimiento institucional: construye una base de conocimiento BES compartida y cuantificable dentro del equipo de ingeniería.</w:t>
      </w:r>
    </w:p>
    <w:p>
      <w:pPr>
        <w:spacing w:before="60" w:after="60"/>
      </w:pPr>
      <w:r>
        <w:t xml:space="preserve"/>
      </w:r>
    </w:p>
    <w:p>
      <w:pPr>
        <w:shd w:fill="EBF4F8" w:val="clear"/>
        <w:spacing w:before="100" w:after="100"/>
        <w:ind w:left="360" w:right="360"/>
      </w:pPr>
      <w:r>
        <w:rPr>
          <w:rFonts w:ascii="Arial" w:cs="Arial" w:eastAsia="Arial" w:hAnsi="Arial"/>
          <w:i/>
          <w:iCs/>
          <w:color w:val="1B3A5C"/>
          <w:sz w:val="21"/>
          <w:szCs w:val="21"/>
        </w:rPr>
        <w:t xml:space="preserve">Supuesto de diseño: SIMBES no reemplaza herramientas de diseño BES existentes (e.g., PIPESIM, OFM, software de fabricantes). Su propósito es pedagógico y de entrenamiento operativo, no de ingeniería de detalle.</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2. Objetivo del Simulador</w:t>
      </w:r>
    </w:p>
    <w:p>
      <w:pPr>
        <w:spacing w:before="60" w:after="60"/>
      </w:pPr>
      <w:r>
        <w:rPr>
          <w:rFonts w:ascii="Arial" w:cs="Arial" w:eastAsia="Arial" w:hAnsi="Arial"/>
          <w:color w:val="4A4A4A"/>
          <w:sz w:val="22"/>
          <w:szCs w:val="22"/>
        </w:rPr>
        <w:t xml:space="preserve">El simulador SIMBES busca responder a una brecha fundamental en la formación de ingenieros de producción: la distancia entre el conocimiento teórico adquirido en la academia y la capacidad de tomar decisiones operativas correctas frente a un sistema BES en condiciones de campo.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2.1 Objetivos de Aprendizaje Primarios</w:t>
      </w:r>
    </w:p>
    <w:p>
      <w:pPr>
        <w:pStyle w:val="ListParagraph"/>
        <w:numPr>
          <w:ilvl w:val="0"/>
          <w:numId w:val="3"/>
        </w:numPr>
        <w:spacing w:before="40" w:after="40"/>
      </w:pPr>
      <w:r>
        <w:rPr>
          <w:rFonts w:ascii="Arial" w:cs="Arial" w:eastAsia="Arial" w:hAnsi="Arial"/>
          <w:color w:val="4A4A4A"/>
          <w:sz w:val="22"/>
          <w:szCs w:val="22"/>
        </w:rPr>
        <w:t xml:space="preserve">Comprender la interacción entre el yacimiento (IPR/Vogel), la columna de fluido y el desempeño de la bomba mediante Análisis Nodal.</w:t>
      </w:r>
    </w:p>
    <w:p>
      <w:pPr>
        <w:pStyle w:val="ListParagraph"/>
        <w:numPr>
          <w:ilvl w:val="0"/>
          <w:numId w:val="3"/>
        </w:numPr>
        <w:spacing w:before="40" w:after="40"/>
      </w:pPr>
      <w:r>
        <w:rPr>
          <w:rFonts w:ascii="Arial" w:cs="Arial" w:eastAsia="Arial" w:hAnsi="Arial"/>
          <w:color w:val="4A4A4A"/>
          <w:sz w:val="22"/>
          <w:szCs w:val="22"/>
        </w:rPr>
        <w:t xml:space="preserve">Dominar el dimensionamiento básico de TDH, selección de bomba por etapas, velocidad específica y operación en BEP.</w:t>
      </w:r>
    </w:p>
    <w:p>
      <w:pPr>
        <w:pStyle w:val="ListParagraph"/>
        <w:numPr>
          <w:ilvl w:val="0"/>
          <w:numId w:val="3"/>
        </w:numPr>
        <w:spacing w:before="40" w:after="40"/>
      </w:pPr>
      <w:r>
        <w:rPr>
          <w:rFonts w:ascii="Arial" w:cs="Arial" w:eastAsia="Arial" w:hAnsi="Arial"/>
          <w:color w:val="4A4A4A"/>
          <w:sz w:val="22"/>
          <w:szCs w:val="22"/>
        </w:rPr>
        <w:t xml:space="preserve">Entender el impacto del gas libre, viscosidad y flujo multifásico sobre la eficiencia de la bomba.</w:t>
      </w:r>
    </w:p>
    <w:p>
      <w:pPr>
        <w:pStyle w:val="ListParagraph"/>
        <w:numPr>
          <w:ilvl w:val="0"/>
          <w:numId w:val="3"/>
        </w:numPr>
        <w:spacing w:before="40" w:after="40"/>
      </w:pPr>
      <w:r>
        <w:rPr>
          <w:rFonts w:ascii="Arial" w:cs="Arial" w:eastAsia="Arial" w:hAnsi="Arial"/>
          <w:color w:val="4A4A4A"/>
          <w:sz w:val="22"/>
          <w:szCs w:val="22"/>
        </w:rPr>
        <w:t xml:space="preserve">Reconocer la arquitectura eléctrica: motor, cable, VSD y sus interacciones térmicas y armónicas.</w:t>
      </w:r>
    </w:p>
    <w:p>
      <w:pPr>
        <w:pStyle w:val="ListParagraph"/>
        <w:numPr>
          <w:ilvl w:val="0"/>
          <w:numId w:val="3"/>
        </w:numPr>
        <w:spacing w:before="40" w:after="40"/>
      </w:pPr>
      <w:r>
        <w:rPr>
          <w:rFonts w:ascii="Arial" w:cs="Arial" w:eastAsia="Arial" w:hAnsi="Arial"/>
          <w:color w:val="4A4A4A"/>
          <w:sz w:val="22"/>
          <w:szCs w:val="22"/>
        </w:rPr>
        <w:t xml:space="preserve">Identificar patrones de falla mediante cartas amperimétricas, datos de sensores de fondo y vibración.</w:t>
      </w:r>
    </w:p>
    <w:p>
      <w:pPr>
        <w:pStyle w:val="ListParagraph"/>
        <w:numPr>
          <w:ilvl w:val="0"/>
          <w:numId w:val="3"/>
        </w:numPr>
        <w:spacing w:before="40" w:after="40"/>
      </w:pPr>
      <w:r>
        <w:rPr>
          <w:rFonts w:ascii="Arial" w:cs="Arial" w:eastAsia="Arial" w:hAnsi="Arial"/>
          <w:color w:val="4A4A4A"/>
          <w:sz w:val="22"/>
          <w:szCs w:val="22"/>
        </w:rPr>
        <w:t xml:space="preserve">Interpretar resultados de análisis forense bajo la metodología DIFA y estándar API RP 11S1.</w:t>
      </w:r>
    </w:p>
    <w:p>
      <w:pPr>
        <w:pStyle w:val="ListParagraph"/>
        <w:numPr>
          <w:ilvl w:val="0"/>
          <w:numId w:val="3"/>
        </w:numPr>
        <w:spacing w:before="40" w:after="40"/>
      </w:pPr>
      <w:r>
        <w:rPr>
          <w:rFonts w:ascii="Arial" w:cs="Arial" w:eastAsia="Arial" w:hAnsi="Arial"/>
          <w:color w:val="4A4A4A"/>
          <w:sz w:val="22"/>
          <w:szCs w:val="22"/>
        </w:rPr>
        <w:t xml:space="preserve">Aplicar modelos de confiabilidad (MTBF, distribución exponencial, datos censurados) para decisiones de mantenimiento.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2.2 Por Qué Es Útil</w:t>
      </w:r>
    </w:p>
    <w:p>
      <w:pPr>
        <w:spacing w:before="60" w:after="60"/>
      </w:pPr>
      <w:r>
        <w:rPr>
          <w:rFonts w:ascii="Arial" w:cs="Arial" w:eastAsia="Arial" w:hAnsi="Arial"/>
          <w:color w:val="4A4A4A"/>
          <w:sz w:val="22"/>
          <w:szCs w:val="22"/>
        </w:rPr>
        <w:t xml:space="preserve">El dominio BES es altamente interdisciplinario. Un ingeniero junior puede tener formación sólida en reservorios o fluidos, pero carecer de intuición práctica sobre cómo los cambios en presión de fondo, temperatura o frecuencia del VSD afectan simultáneamente el comportamiento de producción. SIMBES provee ese contexto integrado a través de simulaciones causa-efecto en tiempo real.</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3. Usuario Objetivo</w:t>
      </w:r>
    </w:p>
    <w:p>
      <w:pPr>
        <w:pStyle w:val="Heading2"/>
        <w:spacing w:before="280" w:after="80"/>
      </w:pPr>
      <w:r>
        <w:rPr>
          <w:rFonts w:ascii="Arial" w:cs="Arial" w:eastAsia="Arial" w:hAnsi="Arial"/>
          <w:b/>
          <w:bCs/>
          <w:color w:val="1A7A6E"/>
          <w:sz w:val="24"/>
          <w:szCs w:val="24"/>
        </w:rPr>
        <w:t xml:space="preserve">3.1 Perfil del Usuario</w:t>
      </w:r>
    </w:p>
    <w:p>
      <w:pPr>
        <w:pStyle w:val="ListParagraph"/>
        <w:numPr>
          <w:ilvl w:val="0"/>
          <w:numId w:val="2"/>
        </w:numPr>
        <w:spacing w:before="40" w:after="40"/>
      </w:pPr>
      <w:r>
        <w:rPr>
          <w:rFonts w:ascii="Arial" w:cs="Arial" w:eastAsia="Arial" w:hAnsi="Arial"/>
          <w:color w:val="4A4A4A"/>
          <w:sz w:val="22"/>
          <w:szCs w:val="22"/>
        </w:rPr>
        <w:t xml:space="preserve">Ingeniero de producción o completaciones con 0–3 años de experiencia en campo o consultoría.</w:t>
      </w:r>
    </w:p>
    <w:p>
      <w:pPr>
        <w:pStyle w:val="ListParagraph"/>
        <w:numPr>
          <w:ilvl w:val="0"/>
          <w:numId w:val="2"/>
        </w:numPr>
        <w:spacing w:before="40" w:after="40"/>
      </w:pPr>
      <w:r>
        <w:rPr>
          <w:rFonts w:ascii="Arial" w:cs="Arial" w:eastAsia="Arial" w:hAnsi="Arial"/>
          <w:color w:val="4A4A4A"/>
          <w:sz w:val="22"/>
          <w:szCs w:val="22"/>
        </w:rPr>
        <w:t xml:space="preserve">Formación universitaria en ingeniería petrolera, mecánica o afines; conocimiento teórico básico de sistemas de levantamiento artificial.</w:t>
      </w:r>
    </w:p>
    <w:p>
      <w:pPr>
        <w:pStyle w:val="ListParagraph"/>
        <w:numPr>
          <w:ilvl w:val="0"/>
          <w:numId w:val="2"/>
        </w:numPr>
        <w:spacing w:before="40" w:after="40"/>
      </w:pPr>
      <w:r>
        <w:rPr>
          <w:rFonts w:ascii="Arial" w:cs="Arial" w:eastAsia="Arial" w:hAnsi="Arial"/>
          <w:color w:val="4A4A4A"/>
          <w:sz w:val="22"/>
          <w:szCs w:val="22"/>
        </w:rPr>
        <w:t xml:space="preserve">Familiaridad con herramientas ofimáticas estándar; experiencia variable con simuladores industriales.</w:t>
      </w:r>
    </w:p>
    <w:p>
      <w:pPr>
        <w:pStyle w:val="ListParagraph"/>
        <w:numPr>
          <w:ilvl w:val="0"/>
          <w:numId w:val="2"/>
        </w:numPr>
        <w:spacing w:before="40" w:after="40"/>
      </w:pPr>
      <w:r>
        <w:rPr>
          <w:rFonts w:ascii="Arial" w:cs="Arial" w:eastAsia="Arial" w:hAnsi="Arial"/>
          <w:color w:val="4A4A4A"/>
          <w:sz w:val="22"/>
          <w:szCs w:val="22"/>
        </w:rPr>
        <w:t xml:space="preserve">Contexto de trabajo: compañías operadoras, empresas de servicio BES, centros de formación técnica o universidades con programas de ingeniería de petróleo.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3.2 Brechas de Conocimiento que SIMBES Aborda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Área</w:t>
            </w:r>
          </w:p>
        </w:tc>
        <w:tc>
          <w:tcPr>
            <w:tcW w:type="dxa" w:w="32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Brecha Típica</w:t>
            </w:r>
          </w:p>
        </w:tc>
        <w:tc>
          <w:tcPr>
            <w:tcW w:type="dxa" w:w="316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Cómo SIMBES la Cierra</w:t>
            </w:r>
          </w:p>
        </w:tc>
      </w:tr>
      <w:tr>
        <w:tc>
          <w:tcPr>
            <w:tcW w:type="dxa" w:w="30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Análisis Nodal</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No saben cruzar curva IPR con curva de la bomba</w:t>
            </w:r>
          </w:p>
        </w:tc>
        <w:tc>
          <w:tcPr>
            <w:tcW w:type="dxa" w:w="3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Simulación gráfica interactiva del punto de operación</w:t>
            </w:r>
          </w:p>
        </w:tc>
      </w:tr>
      <w:tr>
        <w:tc>
          <w:tcPr>
            <w:tcW w:type="dxa" w:w="30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Gas y Multifásico</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Subvaloran el impacto del GOR y el gas lock</w:t>
            </w:r>
          </w:p>
        </w:tc>
        <w:tc>
          <w:tcPr>
            <w:tcW w:type="dxa" w:w="3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Simulaciones de degradación de curva de bomba con gas</w:t>
            </w:r>
          </w:p>
        </w:tc>
      </w:tr>
      <w:tr>
        <w:tc>
          <w:tcPr>
            <w:tcW w:type="dxa" w:w="30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Electricidad y VSD</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Confunden armónicas, THD y su efecto térmico</w:t>
            </w:r>
          </w:p>
        </w:tc>
        <w:tc>
          <w:tcPr>
            <w:tcW w:type="dxa" w:w="3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Módulo de simulación de VSD con alertas de THD y temperatura</w:t>
            </w:r>
          </w:p>
        </w:tc>
      </w:tr>
      <w:tr>
        <w:tc>
          <w:tcPr>
            <w:tcW w:type="dxa" w:w="30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Diagnóstico de fallas</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No saben interpretar cartas amperimétricas ni sensores downhole</w:t>
            </w:r>
          </w:p>
        </w:tc>
        <w:tc>
          <w:tcPr>
            <w:tcW w:type="dxa" w:w="3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Casos de diagnóstico interactivos con retroalimentación guiada</w:t>
            </w:r>
          </w:p>
        </w:tc>
      </w:tr>
      <w:tr>
        <w:tc>
          <w:tcPr>
            <w:tcW w:type="dxa" w:w="30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Confiabilidad y MTBF</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No aplican datos censurados ni distribuciones probabilísticas</w:t>
            </w:r>
          </w:p>
        </w:tc>
        <w:tc>
          <w:tcPr>
            <w:tcW w:type="dxa" w:w="3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Módulo de análisis de supervivencia con visualización de curvas</w:t>
            </w:r>
          </w:p>
        </w:tc>
      </w:tr>
    </w:tbl>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4. Principios de Diseño</w:t>
      </w:r>
    </w:p>
    <w:p>
      <w:pPr>
        <w:pStyle w:val="Heading2"/>
        <w:spacing w:before="280" w:after="80"/>
      </w:pPr>
      <w:r>
        <w:rPr>
          <w:rFonts w:ascii="Arial" w:cs="Arial" w:eastAsia="Arial" w:hAnsi="Arial"/>
          <w:b/>
          <w:bCs/>
          <w:color w:val="1A7A6E"/>
          <w:sz w:val="24"/>
          <w:szCs w:val="24"/>
        </w:rPr>
        <w:t xml:space="preserve">4.1 Principios Pedagógicos</w:t>
      </w:r>
    </w:p>
    <w:p>
      <w:pPr>
        <w:pStyle w:val="ListParagraph"/>
        <w:numPr>
          <w:ilvl w:val="0"/>
          <w:numId w:val="2"/>
        </w:numPr>
        <w:spacing w:before="40" w:after="40"/>
      </w:pPr>
      <w:r>
        <w:rPr>
          <w:rFonts w:ascii="Arial" w:cs="Arial" w:eastAsia="Arial" w:hAnsi="Arial"/>
          <w:color w:val="4A4A4A"/>
          <w:sz w:val="22"/>
          <w:szCs w:val="22"/>
        </w:rPr>
        <w:t xml:space="preserve">Aprendizaje por exploración: el usuario debe poder manipular variables y observar consecuencias antes de recibir instrucción formal.</w:t>
      </w:r>
    </w:p>
    <w:p>
      <w:pPr>
        <w:pStyle w:val="ListParagraph"/>
        <w:numPr>
          <w:ilvl w:val="0"/>
          <w:numId w:val="2"/>
        </w:numPr>
        <w:spacing w:before="40" w:after="40"/>
      </w:pPr>
      <w:r>
        <w:rPr>
          <w:rFonts w:ascii="Arial" w:cs="Arial" w:eastAsia="Arial" w:hAnsi="Arial"/>
          <w:color w:val="4A4A4A"/>
          <w:sz w:val="22"/>
          <w:szCs w:val="22"/>
        </w:rPr>
        <w:t xml:space="preserve">Progresión guiada: niveles básico → intermedio → avanzado con desbloques graduales de complejidad.</w:t>
      </w:r>
    </w:p>
    <w:p>
      <w:pPr>
        <w:pStyle w:val="ListParagraph"/>
        <w:numPr>
          <w:ilvl w:val="0"/>
          <w:numId w:val="2"/>
        </w:numPr>
        <w:spacing w:before="40" w:after="40"/>
      </w:pPr>
      <w:r>
        <w:rPr>
          <w:rFonts w:ascii="Arial" w:cs="Arial" w:eastAsia="Arial" w:hAnsi="Arial"/>
          <w:color w:val="4A4A4A"/>
          <w:sz w:val="22"/>
          <w:szCs w:val="22"/>
        </w:rPr>
        <w:t xml:space="preserve">Retroalimentación inmediata: cada acción del usuario produce una respuesta visible, numérica y contextualizada.</w:t>
      </w:r>
    </w:p>
    <w:p>
      <w:pPr>
        <w:pStyle w:val="ListParagraph"/>
        <w:numPr>
          <w:ilvl w:val="0"/>
          <w:numId w:val="2"/>
        </w:numPr>
        <w:spacing w:before="40" w:after="40"/>
      </w:pPr>
      <w:r>
        <w:rPr>
          <w:rFonts w:ascii="Arial" w:cs="Arial" w:eastAsia="Arial" w:hAnsi="Arial"/>
          <w:color w:val="4A4A4A"/>
          <w:sz w:val="22"/>
          <w:szCs w:val="22"/>
        </w:rPr>
        <w:t xml:space="preserve">Contextualización operativa real: todos los escenarios están anclados en situaciones reales de campo (no ejercicios abstractos).</w:t>
      </w:r>
    </w:p>
    <w:p>
      <w:pPr>
        <w:pStyle w:val="ListParagraph"/>
        <w:numPr>
          <w:ilvl w:val="0"/>
          <w:numId w:val="2"/>
        </w:numPr>
        <w:spacing w:before="40" w:after="40"/>
      </w:pPr>
      <w:r>
        <w:rPr>
          <w:rFonts w:ascii="Arial" w:cs="Arial" w:eastAsia="Arial" w:hAnsi="Arial"/>
          <w:color w:val="4A4A4A"/>
          <w:sz w:val="22"/>
          <w:szCs w:val="22"/>
        </w:rPr>
        <w:t xml:space="preserve">Error como herramienta de aprendizaje: los errores deben generar alertas explicativas, no bloqueos frustrantes.</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4.2 Principios Funcionales</w:t>
      </w:r>
    </w:p>
    <w:p>
      <w:pPr>
        <w:pStyle w:val="ListParagraph"/>
        <w:numPr>
          <w:ilvl w:val="0"/>
          <w:numId w:val="2"/>
        </w:numPr>
        <w:spacing w:before="40" w:after="40"/>
      </w:pPr>
      <w:r>
        <w:rPr>
          <w:rFonts w:ascii="Arial" w:cs="Arial" w:eastAsia="Arial" w:hAnsi="Arial"/>
          <w:color w:val="4A4A4A"/>
          <w:sz w:val="22"/>
          <w:szCs w:val="22"/>
        </w:rPr>
        <w:t xml:space="preserve">Fidelidad conceptual: las simulaciones deben ser físicamente coherentes con el material técnico base (Darcy, Vogel, TDH, Arrhenius, MTBF).</w:t>
      </w:r>
    </w:p>
    <w:p>
      <w:pPr>
        <w:pStyle w:val="ListParagraph"/>
        <w:numPr>
          <w:ilvl w:val="0"/>
          <w:numId w:val="2"/>
        </w:numPr>
        <w:spacing w:before="40" w:after="40"/>
      </w:pPr>
      <w:r>
        <w:rPr>
          <w:rFonts w:ascii="Arial" w:cs="Arial" w:eastAsia="Arial" w:hAnsi="Arial"/>
          <w:color w:val="4A4A4A"/>
          <w:sz w:val="22"/>
          <w:szCs w:val="22"/>
        </w:rPr>
        <w:t xml:space="preserve">Interactividad continua: no hay pantallas puramente informativas; todo contenido tiene un elemento de interacción asociado.</w:t>
      </w:r>
    </w:p>
    <w:p>
      <w:pPr>
        <w:pStyle w:val="ListParagraph"/>
        <w:numPr>
          <w:ilvl w:val="0"/>
          <w:numId w:val="2"/>
        </w:numPr>
        <w:spacing w:before="40" w:after="40"/>
      </w:pPr>
      <w:r>
        <w:rPr>
          <w:rFonts w:ascii="Arial" w:cs="Arial" w:eastAsia="Arial" w:hAnsi="Arial"/>
          <w:color w:val="4A4A4A"/>
          <w:sz w:val="22"/>
          <w:szCs w:val="22"/>
        </w:rPr>
        <w:t xml:space="preserve">Modularidad: cada módulo es independiente pero conectado al flujo general.</w:t>
      </w:r>
    </w:p>
    <w:p>
      <w:pPr>
        <w:pStyle w:val="ListParagraph"/>
        <w:numPr>
          <w:ilvl w:val="0"/>
          <w:numId w:val="2"/>
        </w:numPr>
        <w:spacing w:before="40" w:after="40"/>
      </w:pPr>
      <w:r>
        <w:rPr>
          <w:rFonts w:ascii="Arial" w:cs="Arial" w:eastAsia="Arial" w:hAnsi="Arial"/>
          <w:color w:val="4A4A4A"/>
          <w:sz w:val="22"/>
          <w:szCs w:val="22"/>
        </w:rPr>
        <w:t xml:space="preserve">Accesibilidad visual: gráficas, diagramas y dashboards son el lenguaje primario de comunicación de resultados.</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4.3 Principios Técnicos</w:t>
      </w:r>
    </w:p>
    <w:p>
      <w:pPr>
        <w:pStyle w:val="ListParagraph"/>
        <w:numPr>
          <w:ilvl w:val="0"/>
          <w:numId w:val="2"/>
        </w:numPr>
        <w:spacing w:before="40" w:after="40"/>
      </w:pPr>
      <w:r>
        <w:rPr>
          <w:rFonts w:ascii="Arial" w:cs="Arial" w:eastAsia="Arial" w:hAnsi="Arial"/>
          <w:color w:val="4A4A4A"/>
          <w:sz w:val="22"/>
          <w:szCs w:val="22"/>
        </w:rPr>
        <w:t xml:space="preserve">Sin código visible para el usuario: la complejidad matemática ocurre bajo el capó.</w:t>
      </w:r>
    </w:p>
    <w:p>
      <w:pPr>
        <w:pStyle w:val="ListParagraph"/>
        <w:numPr>
          <w:ilvl w:val="0"/>
          <w:numId w:val="2"/>
        </w:numPr>
        <w:spacing w:before="40" w:after="40"/>
      </w:pPr>
      <w:r>
        <w:rPr>
          <w:rFonts w:ascii="Arial" w:cs="Arial" w:eastAsia="Arial" w:hAnsi="Arial"/>
          <w:color w:val="4A4A4A"/>
          <w:sz w:val="22"/>
          <w:szCs w:val="22"/>
        </w:rPr>
        <w:t xml:space="preserve">Escalabilidad de la base de conocimiento: las fórmulas y curvas de equipos pueden actualizarse sin rediseñar la interfaz.</w:t>
      </w:r>
    </w:p>
    <w:p>
      <w:pPr>
        <w:pStyle w:val="ListParagraph"/>
        <w:numPr>
          <w:ilvl w:val="0"/>
          <w:numId w:val="2"/>
        </w:numPr>
        <w:spacing w:before="40" w:after="40"/>
      </w:pPr>
      <w:r>
        <w:rPr>
          <w:rFonts w:ascii="Arial" w:cs="Arial" w:eastAsia="Arial" w:hAnsi="Arial"/>
          <w:color w:val="4A4A4A"/>
          <w:sz w:val="22"/>
          <w:szCs w:val="22"/>
        </w:rPr>
        <w:t xml:space="preserve">Modelos simplificados pero no simplistas: el motor de simulación usa aproximaciones válidas para aprendizaje, identificadas como tales.</w:t>
      </w:r>
    </w:p>
    <w:p>
      <w:pPr>
        <w:pStyle w:val="ListParagraph"/>
        <w:numPr>
          <w:ilvl w:val="0"/>
          <w:numId w:val="2"/>
        </w:numPr>
        <w:spacing w:before="40" w:after="40"/>
      </w:pPr>
      <w:r>
        <w:rPr>
          <w:rFonts w:ascii="Arial" w:cs="Arial" w:eastAsia="Arial" w:hAnsi="Arial"/>
          <w:color w:val="4A4A4A"/>
          <w:sz w:val="22"/>
          <w:szCs w:val="22"/>
        </w:rPr>
        <w:t xml:space="preserve">Trazabilidad del aprendizaje: cada acción del usuario genera un registro evaluable.</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5. Arquitectura General de la App — Mapa de Módulos</w:t>
      </w:r>
    </w:p>
    <w:p>
      <w:pPr>
        <w:shd w:fill="EBF4F8" w:val="clear"/>
        <w:spacing w:before="100" w:after="100"/>
        <w:ind w:left="360" w:right="360"/>
      </w:pPr>
      <w:r>
        <w:rPr>
          <w:rFonts w:ascii="Arial" w:cs="Arial" w:eastAsia="Arial" w:hAnsi="Arial"/>
          <w:i/>
          <w:iCs/>
          <w:color w:val="1B3A5C"/>
          <w:sz w:val="21"/>
          <w:szCs w:val="21"/>
        </w:rPr>
        <w:t xml:space="preserve">La arquitectura se organiza en 8 módulos principales agrupados en 3 capas: Fundamentos, Simulación Avanzada y Diagnóstico/Confiabilidad. Existe además una capa transversal de Evaluación y Perfil de Usuario.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1 — Fundamentos de Yacimiento e IPR</w:t>
      </w:r>
    </w:p>
    <w:p>
      <w:pPr>
        <w:spacing w:before="60" w:after="60"/>
      </w:pPr>
      <w:r>
        <w:rPr>
          <w:rFonts w:ascii="Arial" w:cs="Arial" w:eastAsia="Arial" w:hAnsi="Arial"/>
          <w:color w:val="4A4A4A"/>
          <w:sz w:val="22"/>
          <w:szCs w:val="22"/>
        </w:rPr>
        <w:t xml:space="preserve">Cubre la física del reservorio: Ley de Darcy, curva IPR lineal, modelo de Vogel para yacimientos saturados, Índice de Productividad (IP) y cálculo del punto de operación mediante Análisis Nodal. El usuario aprende a construir la curva de afluencia y entender cómo el drawdown afecta la producción.</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2 — Diseño Hidráulico de la Bomba</w:t>
      </w:r>
    </w:p>
    <w:p>
      <w:pPr>
        <w:spacing w:before="60" w:after="60"/>
      </w:pPr>
      <w:r>
        <w:rPr>
          <w:rFonts w:ascii="Arial" w:cs="Arial" w:eastAsia="Arial" w:hAnsi="Arial"/>
          <w:color w:val="4A4A4A"/>
          <w:sz w:val="22"/>
          <w:szCs w:val="22"/>
        </w:rPr>
        <w:t xml:space="preserve">Simula el comportamiento de la bomba centrífuga multietapa: curva H-Q, velocidad específica (Ns), Punto de Mejor Eficiencia (BEP), Leyes de Afinidad y cálculo de TDH. Incluye simulaciones de sobre/subdimensionamiento y su impacto en eficiencia y vida útil.</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3 — Gas, Viscosidad y Flujo Multifásico</w:t>
      </w:r>
    </w:p>
    <w:p>
      <w:pPr>
        <w:spacing w:before="60" w:after="60"/>
      </w:pPr>
      <w:r>
        <w:rPr>
          <w:rFonts w:ascii="Arial" w:cs="Arial" w:eastAsia="Arial" w:hAnsi="Arial"/>
          <w:color w:val="4A4A4A"/>
          <w:sz w:val="22"/>
          <w:szCs w:val="22"/>
        </w:rPr>
        <w:t xml:space="preserve">Explora el impacto del gas libre en la bomba: gas lock, degradación de curva H-Q, Gas Volume Fraction (GVF), separadores de gas naturales (AGS) y gas handlers. Incluye correcciones por viscosidad (factor de corrección de Hydraulic Institute) y efectos del flujo bifásico.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4 — Sistema Eléctrico: Motor, Cable y VSD</w:t>
      </w:r>
    </w:p>
    <w:p>
      <w:pPr>
        <w:spacing w:before="60" w:after="60"/>
      </w:pPr>
      <w:r>
        <w:rPr>
          <w:rFonts w:ascii="Arial" w:cs="Arial" w:eastAsia="Arial" w:hAnsi="Arial"/>
          <w:color w:val="4A4A4A"/>
          <w:sz w:val="22"/>
          <w:szCs w:val="22"/>
        </w:rPr>
        <w:t xml:space="preserve">Simula la cadena eléctrica del BES: motor de inducción vs. motor de imanes permanentes (PMM), selección de cable (temperatura, resistencia óhmica, caída de voltaje), operación del VSD, armónicas (THD), regla de Arrhenius y cumplimiento de IEEE 519-2014. Incluye selección de materiales bajo NACE MR0175.</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5 — Monitoreo y Sensores de Fondo</w:t>
      </w:r>
    </w:p>
    <w:p>
      <w:pPr>
        <w:spacing w:before="60" w:after="60"/>
      </w:pPr>
      <w:r>
        <w:rPr>
          <w:rFonts w:ascii="Arial" w:cs="Arial" w:eastAsia="Arial" w:hAnsi="Arial"/>
          <w:color w:val="4A4A4A"/>
          <w:sz w:val="22"/>
          <w:szCs w:val="22"/>
        </w:rPr>
        <w:t xml:space="preserve">Introduce los datos generados por sensores downhole (presión, temperatura, vibración) y cartas amperimétricas del VSD. El usuario aprende a leer e interpretar estos datos para identificar condiciones operativas anómalas en tiempo real.</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6 — Diagnóstico de Fallas (DIFA / API RP 11S1)</w:t>
      </w:r>
    </w:p>
    <w:p>
      <w:pPr>
        <w:spacing w:before="60" w:after="60"/>
      </w:pPr>
      <w:r>
        <w:rPr>
          <w:rFonts w:ascii="Arial" w:cs="Arial" w:eastAsia="Arial" w:hAnsi="Arial"/>
          <w:color w:val="4A4A4A"/>
          <w:sz w:val="22"/>
          <w:szCs w:val="22"/>
        </w:rPr>
        <w:t xml:space="preserve">Presenta casos de falla reales o sintéticos. El usuario sigue la metodología forense DIFA: identificación del componente fallido, código de observación (series 3700, 4900, 5400, 5900), análisis de causa raíz y recomendaciones preventivas. Incluye codificación API RP 11S1.</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7 — Confiabilidad y MTBF</w:t>
      </w:r>
    </w:p>
    <w:p>
      <w:pPr>
        <w:spacing w:before="60" w:after="60"/>
      </w:pPr>
      <w:r>
        <w:rPr>
          <w:rFonts w:ascii="Arial" w:cs="Arial" w:eastAsia="Arial" w:hAnsi="Arial"/>
          <w:color w:val="4A4A4A"/>
          <w:sz w:val="22"/>
          <w:szCs w:val="22"/>
        </w:rPr>
        <w:t xml:space="preserve">Enseña los fundamentos de la confiabilidad estadística en poblaciones BES: distribución exponencial, sesgo de sobrevivencia, datos censurados (Tipo I y II), intervalos de confianza con distribución Chi-cuadrado y su impacto en decisiones de CAPEX/OPEX.</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8 — Constructor de Escenarios de Pozo</w:t>
      </w:r>
    </w:p>
    <w:p>
      <w:pPr>
        <w:spacing w:before="60" w:after="60"/>
      </w:pPr>
      <w:r>
        <w:rPr>
          <w:rFonts w:ascii="Arial" w:cs="Arial" w:eastAsia="Arial" w:hAnsi="Arial"/>
          <w:color w:val="4A4A4A"/>
          <w:sz w:val="22"/>
          <w:szCs w:val="22"/>
        </w:rPr>
        <w:t xml:space="preserve">Módulo integrador donde el usuario puede configurar un pozo completo (parámetros de yacimiento + bomba + motor + cable + VSD) y simular su comportamiento productivo a lo largo del tiempo, incluyendo declino natural y ajuste de frecuencia.</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6. Arquitectura Funcional — Funciones por Módulo</w:t>
      </w:r>
    </w:p>
    <w:p>
      <w:pPr>
        <w:pStyle w:val="Heading2"/>
        <w:spacing w:before="280" w:after="80"/>
      </w:pPr>
      <w:r>
        <w:rPr>
          <w:rFonts w:ascii="Arial" w:cs="Arial" w:eastAsia="Arial" w:hAnsi="Arial"/>
          <w:b/>
          <w:bCs/>
          <w:color w:val="1A7A6E"/>
          <w:sz w:val="24"/>
          <w:szCs w:val="24"/>
        </w:rPr>
        <w:t xml:space="preserve">Módulo 1 — Fundamentos IPR / Análisis Nodal</w:t>
      </w:r>
    </w:p>
    <w:p>
      <w:pPr>
        <w:pStyle w:val="ListParagraph"/>
        <w:numPr>
          <w:ilvl w:val="0"/>
          <w:numId w:val="2"/>
        </w:numPr>
        <w:spacing w:before="40" w:after="40"/>
      </w:pPr>
      <w:r>
        <w:rPr>
          <w:rFonts w:ascii="Arial" w:cs="Arial" w:eastAsia="Arial" w:hAnsi="Arial"/>
          <w:color w:val="4A4A4A"/>
          <w:sz w:val="22"/>
          <w:szCs w:val="22"/>
        </w:rPr>
        <w:t xml:space="preserve">Entrada paramétrica de: permeabilidad (k), espesor (h), viscosidad (μ), radio de drenaje, radio de pozo, skin, presión de reservorio.</w:t>
      </w:r>
    </w:p>
    <w:p>
      <w:pPr>
        <w:pStyle w:val="ListParagraph"/>
        <w:numPr>
          <w:ilvl w:val="0"/>
          <w:numId w:val="2"/>
        </w:numPr>
        <w:spacing w:before="40" w:after="40"/>
      </w:pPr>
      <w:r>
        <w:rPr>
          <w:rFonts w:ascii="Arial" w:cs="Arial" w:eastAsia="Arial" w:hAnsi="Arial"/>
          <w:color w:val="4A4A4A"/>
          <w:sz w:val="22"/>
          <w:szCs w:val="22"/>
        </w:rPr>
        <w:t xml:space="preserve">Generación automática de curva IPR (Darcy lineal o Vogel según presión de burbuja vs. presión estática).</w:t>
      </w:r>
    </w:p>
    <w:p>
      <w:pPr>
        <w:pStyle w:val="ListParagraph"/>
        <w:numPr>
          <w:ilvl w:val="0"/>
          <w:numId w:val="2"/>
        </w:numPr>
        <w:spacing w:before="40" w:after="40"/>
      </w:pPr>
      <w:r>
        <w:rPr>
          <w:rFonts w:ascii="Arial" w:cs="Arial" w:eastAsia="Arial" w:hAnsi="Arial"/>
          <w:color w:val="4A4A4A"/>
          <w:sz w:val="22"/>
          <w:szCs w:val="22"/>
        </w:rPr>
        <w:t xml:space="preserve">Cruce gráfico interactivo de IPR con curva VLP (Vertical Lift Performance) de la bomba para determinar punto de operación.</w:t>
      </w:r>
    </w:p>
    <w:p>
      <w:pPr>
        <w:pStyle w:val="ListParagraph"/>
        <w:numPr>
          <w:ilvl w:val="0"/>
          <w:numId w:val="2"/>
        </w:numPr>
        <w:spacing w:before="40" w:after="40"/>
      </w:pPr>
      <w:r>
        <w:rPr>
          <w:rFonts w:ascii="Arial" w:cs="Arial" w:eastAsia="Arial" w:hAnsi="Arial"/>
          <w:color w:val="4A4A4A"/>
          <w:sz w:val="22"/>
          <w:szCs w:val="22"/>
        </w:rPr>
        <w:t xml:space="preserve">Cálculo en tiempo real del Índice de Productividad (IP) y caudal de operación.</w:t>
      </w:r>
    </w:p>
    <w:p>
      <w:pPr>
        <w:pStyle w:val="ListParagraph"/>
        <w:numPr>
          <w:ilvl w:val="0"/>
          <w:numId w:val="2"/>
        </w:numPr>
        <w:spacing w:before="40" w:after="40"/>
      </w:pPr>
      <w:r>
        <w:rPr>
          <w:rFonts w:ascii="Arial" w:cs="Arial" w:eastAsia="Arial" w:hAnsi="Arial"/>
          <w:color w:val="4A4A4A"/>
          <w:sz w:val="22"/>
          <w:szCs w:val="22"/>
        </w:rPr>
        <w:t xml:space="preserve">Alertas si el punto de operación cae fuera del rango estable de la bomba.</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2 — Diseño Hidráulico</w:t>
      </w:r>
    </w:p>
    <w:p>
      <w:pPr>
        <w:pStyle w:val="ListParagraph"/>
        <w:numPr>
          <w:ilvl w:val="0"/>
          <w:numId w:val="2"/>
        </w:numPr>
        <w:spacing w:before="40" w:after="40"/>
      </w:pPr>
      <w:r>
        <w:rPr>
          <w:rFonts w:ascii="Arial" w:cs="Arial" w:eastAsia="Arial" w:hAnsi="Arial"/>
          <w:color w:val="4A4A4A"/>
          <w:sz w:val="22"/>
          <w:szCs w:val="22"/>
        </w:rPr>
        <w:t xml:space="preserve">Selector de tipo de impulsor (radial, mixto, axial) según Ns calculada.</w:t>
      </w:r>
    </w:p>
    <w:p>
      <w:pPr>
        <w:pStyle w:val="ListParagraph"/>
        <w:numPr>
          <w:ilvl w:val="0"/>
          <w:numId w:val="2"/>
        </w:numPr>
        <w:spacing w:before="40" w:after="40"/>
      </w:pPr>
      <w:r>
        <w:rPr>
          <w:rFonts w:ascii="Arial" w:cs="Arial" w:eastAsia="Arial" w:hAnsi="Arial"/>
          <w:color w:val="4A4A4A"/>
          <w:sz w:val="22"/>
          <w:szCs w:val="22"/>
        </w:rPr>
        <w:t xml:space="preserve">Constructor de curva H-Q por etapa con visualización del BEP.</w:t>
      </w:r>
    </w:p>
    <w:p>
      <w:pPr>
        <w:pStyle w:val="ListParagraph"/>
        <w:numPr>
          <w:ilvl w:val="0"/>
          <w:numId w:val="2"/>
        </w:numPr>
        <w:spacing w:before="40" w:after="40"/>
      </w:pPr>
      <w:r>
        <w:rPr>
          <w:rFonts w:ascii="Arial" w:cs="Arial" w:eastAsia="Arial" w:hAnsi="Arial"/>
          <w:color w:val="4A4A4A"/>
          <w:sz w:val="22"/>
          <w:szCs w:val="22"/>
        </w:rPr>
        <w:t xml:space="preserve">Calculadora de TDH: altura estática neta, pérdidas por fricción (Darcy-Weisbach / Colebrook-White), contrapresión en cabeza de pozo.</w:t>
      </w:r>
    </w:p>
    <w:p>
      <w:pPr>
        <w:pStyle w:val="ListParagraph"/>
        <w:numPr>
          <w:ilvl w:val="0"/>
          <w:numId w:val="2"/>
        </w:numPr>
        <w:spacing w:before="40" w:after="40"/>
      </w:pPr>
      <w:r>
        <w:rPr>
          <w:rFonts w:ascii="Arial" w:cs="Arial" w:eastAsia="Arial" w:hAnsi="Arial"/>
          <w:color w:val="4A4A4A"/>
          <w:sz w:val="22"/>
          <w:szCs w:val="22"/>
        </w:rPr>
        <w:t xml:space="preserve">Aplicación de Leyes de Afinidad para variación de frecuencia (rpm).</w:t>
      </w:r>
    </w:p>
    <w:p>
      <w:pPr>
        <w:pStyle w:val="ListParagraph"/>
        <w:numPr>
          <w:ilvl w:val="0"/>
          <w:numId w:val="2"/>
        </w:numPr>
        <w:spacing w:before="40" w:after="40"/>
      </w:pPr>
      <w:r>
        <w:rPr>
          <w:rFonts w:ascii="Arial" w:cs="Arial" w:eastAsia="Arial" w:hAnsi="Arial"/>
          <w:color w:val="4A4A4A"/>
          <w:sz w:val="22"/>
          <w:szCs w:val="22"/>
        </w:rPr>
        <w:t xml:space="preserve">Indicador visual de operación fuera de rango (surging / overshooting).</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3 — Gas y Multifásico</w:t>
      </w:r>
    </w:p>
    <w:p>
      <w:pPr>
        <w:pStyle w:val="ListParagraph"/>
        <w:numPr>
          <w:ilvl w:val="0"/>
          <w:numId w:val="2"/>
        </w:numPr>
        <w:spacing w:before="40" w:after="40"/>
      </w:pPr>
      <w:r>
        <w:rPr>
          <w:rFonts w:ascii="Arial" w:cs="Arial" w:eastAsia="Arial" w:hAnsi="Arial"/>
          <w:color w:val="4A4A4A"/>
          <w:sz w:val="22"/>
          <w:szCs w:val="22"/>
        </w:rPr>
        <w:t xml:space="preserve">Cálculo de GVF en la succión de la bomba según presión de operación y GOR superficial.</w:t>
      </w:r>
    </w:p>
    <w:p>
      <w:pPr>
        <w:pStyle w:val="ListParagraph"/>
        <w:numPr>
          <w:ilvl w:val="0"/>
          <w:numId w:val="2"/>
        </w:numPr>
        <w:spacing w:before="40" w:after="40"/>
      </w:pPr>
      <w:r>
        <w:rPr>
          <w:rFonts w:ascii="Arial" w:cs="Arial" w:eastAsia="Arial" w:hAnsi="Arial"/>
          <w:color w:val="4A4A4A"/>
          <w:sz w:val="22"/>
          <w:szCs w:val="22"/>
        </w:rPr>
        <w:t xml:space="preserve">Degradación automática de curva H-Q según GVF (con referencia a curvas empíricas de fabricantes).</w:t>
      </w:r>
    </w:p>
    <w:p>
      <w:pPr>
        <w:pStyle w:val="ListParagraph"/>
        <w:numPr>
          <w:ilvl w:val="0"/>
          <w:numId w:val="2"/>
        </w:numPr>
        <w:spacing w:before="40" w:after="40"/>
      </w:pPr>
      <w:r>
        <w:rPr>
          <w:rFonts w:ascii="Arial" w:cs="Arial" w:eastAsia="Arial" w:hAnsi="Arial"/>
          <w:color w:val="4A4A4A"/>
          <w:sz w:val="22"/>
          <w:szCs w:val="22"/>
        </w:rPr>
        <w:t xml:space="preserve">Simulación de escenario de gas lock y umbral de GVF crítico.</w:t>
      </w:r>
    </w:p>
    <w:p>
      <w:pPr>
        <w:pStyle w:val="ListParagraph"/>
        <w:numPr>
          <w:ilvl w:val="0"/>
          <w:numId w:val="2"/>
        </w:numPr>
        <w:spacing w:before="40" w:after="40"/>
      </w:pPr>
      <w:r>
        <w:rPr>
          <w:rFonts w:ascii="Arial" w:cs="Arial" w:eastAsia="Arial" w:hAnsi="Arial"/>
          <w:color w:val="4A4A4A"/>
          <w:sz w:val="22"/>
          <w:szCs w:val="22"/>
        </w:rPr>
        <w:t xml:space="preserve">Selector de estrategia de manejo de gas: AGS pasivo, gas handler activo, bomba especializada.</w:t>
      </w:r>
    </w:p>
    <w:p>
      <w:pPr>
        <w:pStyle w:val="ListParagraph"/>
        <w:numPr>
          <w:ilvl w:val="0"/>
          <w:numId w:val="2"/>
        </w:numPr>
        <w:spacing w:before="40" w:after="40"/>
      </w:pPr>
      <w:r>
        <w:rPr>
          <w:rFonts w:ascii="Arial" w:cs="Arial" w:eastAsia="Arial" w:hAnsi="Arial"/>
          <w:color w:val="4A4A4A"/>
          <w:sz w:val="22"/>
          <w:szCs w:val="22"/>
        </w:rPr>
        <w:t xml:space="preserve">Corrección de viscosidad aplicada a eficiencia de bomba y TDH.</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4 — Eléctrico / VSD</w:t>
      </w:r>
    </w:p>
    <w:p>
      <w:pPr>
        <w:pStyle w:val="ListParagraph"/>
        <w:numPr>
          <w:ilvl w:val="0"/>
          <w:numId w:val="2"/>
        </w:numPr>
        <w:spacing w:before="40" w:after="40"/>
      </w:pPr>
      <w:r>
        <w:rPr>
          <w:rFonts w:ascii="Arial" w:cs="Arial" w:eastAsia="Arial" w:hAnsi="Arial"/>
          <w:color w:val="4A4A4A"/>
          <w:sz w:val="22"/>
          <w:szCs w:val="22"/>
        </w:rPr>
        <w:t xml:space="preserve">Calculadora de caída de voltaje en cable con corrección por temperatura (geotérmico + efecto Joule).</w:t>
      </w:r>
    </w:p>
    <w:p>
      <w:pPr>
        <w:pStyle w:val="ListParagraph"/>
        <w:numPr>
          <w:ilvl w:val="0"/>
          <w:numId w:val="2"/>
        </w:numPr>
        <w:spacing w:before="40" w:after="40"/>
      </w:pPr>
      <w:r>
        <w:rPr>
          <w:rFonts w:ascii="Arial" w:cs="Arial" w:eastAsia="Arial" w:hAnsi="Arial"/>
          <w:color w:val="4A4A4A"/>
          <w:sz w:val="22"/>
          <w:szCs w:val="22"/>
        </w:rPr>
        <w:t xml:space="preserve">Selector de materiales de elastómeros y cable según temperatura y presencia de H₂S (NACE MR0175).</w:t>
      </w:r>
    </w:p>
    <w:p>
      <w:pPr>
        <w:pStyle w:val="ListParagraph"/>
        <w:numPr>
          <w:ilvl w:val="0"/>
          <w:numId w:val="2"/>
        </w:numPr>
        <w:spacing w:before="40" w:after="40"/>
      </w:pPr>
      <w:r>
        <w:rPr>
          <w:rFonts w:ascii="Arial" w:cs="Arial" w:eastAsia="Arial" w:hAnsi="Arial"/>
          <w:color w:val="4A4A4A"/>
          <w:sz w:val="22"/>
          <w:szCs w:val="22"/>
        </w:rPr>
        <w:t xml:space="preserve">Simulador de VSD: configuración de frecuencia de operación, impacto en caudal y TDH (Leyes de Afinidad eléctricas).</w:t>
      </w:r>
    </w:p>
    <w:p>
      <w:pPr>
        <w:pStyle w:val="ListParagraph"/>
        <w:numPr>
          <w:ilvl w:val="0"/>
          <w:numId w:val="2"/>
        </w:numPr>
        <w:spacing w:before="40" w:after="40"/>
      </w:pPr>
      <w:r>
        <w:rPr>
          <w:rFonts w:ascii="Arial" w:cs="Arial" w:eastAsia="Arial" w:hAnsi="Arial"/>
          <w:color w:val="4A4A4A"/>
          <w:sz w:val="22"/>
          <w:szCs w:val="22"/>
        </w:rPr>
        <w:t xml:space="preserve">Visualizador de THD con indicador de cumplimiento IEEE 519-2014.</w:t>
      </w:r>
    </w:p>
    <w:p>
      <w:pPr>
        <w:pStyle w:val="ListParagraph"/>
        <w:numPr>
          <w:ilvl w:val="0"/>
          <w:numId w:val="2"/>
        </w:numPr>
        <w:spacing w:before="40" w:after="40"/>
      </w:pPr>
      <w:r>
        <w:rPr>
          <w:rFonts w:ascii="Arial" w:cs="Arial" w:eastAsia="Arial" w:hAnsi="Arial"/>
          <w:color w:val="4A4A4A"/>
          <w:sz w:val="22"/>
          <w:szCs w:val="22"/>
        </w:rPr>
        <w:t xml:space="preserve">Aplicación de Regla de Arrhenius: simulación de reducción de vida útil de aislamiento por temperatura excesiva.</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5 — Sensores y Monitoreo</w:t>
      </w:r>
    </w:p>
    <w:p>
      <w:pPr>
        <w:pStyle w:val="ListParagraph"/>
        <w:numPr>
          <w:ilvl w:val="0"/>
          <w:numId w:val="2"/>
        </w:numPr>
        <w:spacing w:before="40" w:after="40"/>
      </w:pPr>
      <w:r>
        <w:rPr>
          <w:rFonts w:ascii="Arial" w:cs="Arial" w:eastAsia="Arial" w:hAnsi="Arial"/>
          <w:color w:val="4A4A4A"/>
          <w:sz w:val="22"/>
          <w:szCs w:val="22"/>
        </w:rPr>
        <w:t xml:space="preserve">Visualizador de carta amperimétrrica con patrones anotados (sobrecarga, subcarga, fluctuaciones por gas).</w:t>
      </w:r>
    </w:p>
    <w:p>
      <w:pPr>
        <w:pStyle w:val="ListParagraph"/>
        <w:numPr>
          <w:ilvl w:val="0"/>
          <w:numId w:val="2"/>
        </w:numPr>
        <w:spacing w:before="40" w:after="40"/>
      </w:pPr>
      <w:r>
        <w:rPr>
          <w:rFonts w:ascii="Arial" w:cs="Arial" w:eastAsia="Arial" w:hAnsi="Arial"/>
          <w:color w:val="4A4A4A"/>
          <w:sz w:val="22"/>
          <w:szCs w:val="22"/>
        </w:rPr>
        <w:t xml:space="preserve">Dashboard de sensor downhole: P, T, vibración radial y axial.</w:t>
      </w:r>
    </w:p>
    <w:p>
      <w:pPr>
        <w:pStyle w:val="ListParagraph"/>
        <w:numPr>
          <w:ilvl w:val="0"/>
          <w:numId w:val="2"/>
        </w:numPr>
        <w:spacing w:before="40" w:after="40"/>
      </w:pPr>
      <w:r>
        <w:rPr>
          <w:rFonts w:ascii="Arial" w:cs="Arial" w:eastAsia="Arial" w:hAnsi="Arial"/>
          <w:color w:val="4A4A4A"/>
          <w:sz w:val="22"/>
          <w:szCs w:val="22"/>
        </w:rPr>
        <w:t xml:space="preserve">Identificación de umbrales de alerta: vibración &gt; 4 mm/s RMS (según estándares industriales).</w:t>
      </w:r>
    </w:p>
    <w:p>
      <w:pPr>
        <w:pStyle w:val="ListParagraph"/>
        <w:numPr>
          <w:ilvl w:val="0"/>
          <w:numId w:val="2"/>
        </w:numPr>
        <w:spacing w:before="40" w:after="40"/>
      </w:pPr>
      <w:r>
        <w:rPr>
          <w:rFonts w:ascii="Arial" w:cs="Arial" w:eastAsia="Arial" w:hAnsi="Arial"/>
          <w:color w:val="4A4A4A"/>
          <w:sz w:val="22"/>
          <w:szCs w:val="22"/>
        </w:rPr>
        <w:t xml:space="preserve">Ejercicios de interpretación: el usuario identifica condición operativa a partir de señales reales/sintéticas.</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6 — Diagnóstico Forense DIFA</w:t>
      </w:r>
    </w:p>
    <w:p>
      <w:pPr>
        <w:pStyle w:val="ListParagraph"/>
        <w:numPr>
          <w:ilvl w:val="0"/>
          <w:numId w:val="2"/>
        </w:numPr>
        <w:spacing w:before="40" w:after="40"/>
      </w:pPr>
      <w:r>
        <w:rPr>
          <w:rFonts w:ascii="Arial" w:cs="Arial" w:eastAsia="Arial" w:hAnsi="Arial"/>
          <w:color w:val="4A4A4A"/>
          <w:sz w:val="22"/>
          <w:szCs w:val="22"/>
        </w:rPr>
        <w:t xml:space="preserve">Biblioteca de casos de falla con síntomas visuales y datos de equipo.</w:t>
      </w:r>
    </w:p>
    <w:p>
      <w:pPr>
        <w:pStyle w:val="ListParagraph"/>
        <w:numPr>
          <w:ilvl w:val="0"/>
          <w:numId w:val="2"/>
        </w:numPr>
        <w:spacing w:before="40" w:after="40"/>
      </w:pPr>
      <w:r>
        <w:rPr>
          <w:rFonts w:ascii="Arial" w:cs="Arial" w:eastAsia="Arial" w:hAnsi="Arial"/>
          <w:color w:val="4A4A4A"/>
          <w:sz w:val="22"/>
          <w:szCs w:val="22"/>
        </w:rPr>
        <w:t xml:space="preserve">Flujo guiado de diagnóstico: síntoma → hipótesis → evidencia → causa raíz → recomendación.</w:t>
      </w:r>
    </w:p>
    <w:p>
      <w:pPr>
        <w:pStyle w:val="ListParagraph"/>
        <w:numPr>
          <w:ilvl w:val="0"/>
          <w:numId w:val="2"/>
        </w:numPr>
        <w:spacing w:before="40" w:after="40"/>
      </w:pPr>
      <w:r>
        <w:rPr>
          <w:rFonts w:ascii="Arial" w:cs="Arial" w:eastAsia="Arial" w:hAnsi="Arial"/>
          <w:color w:val="4A4A4A"/>
          <w:sz w:val="22"/>
          <w:szCs w:val="22"/>
        </w:rPr>
        <w:t xml:space="preserve">Codificación estándar API RP 11S1 con selector de componente fallido y código de observación.</w:t>
      </w:r>
    </w:p>
    <w:p>
      <w:pPr>
        <w:pStyle w:val="ListParagraph"/>
        <w:numPr>
          <w:ilvl w:val="0"/>
          <w:numId w:val="2"/>
        </w:numPr>
        <w:spacing w:before="40" w:after="40"/>
      </w:pPr>
      <w:r>
        <w:rPr>
          <w:rFonts w:ascii="Arial" w:cs="Arial" w:eastAsia="Arial" w:hAnsi="Arial"/>
          <w:color w:val="4A4A4A"/>
          <w:sz w:val="22"/>
          <w:szCs w:val="22"/>
        </w:rPr>
        <w:t xml:space="preserve">Retroalimentación comparativa: respuesta del usuario vs. análisis experto.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Módulo 7 — Confiabilidad</w:t>
      </w:r>
    </w:p>
    <w:p>
      <w:pPr>
        <w:pStyle w:val="ListParagraph"/>
        <w:numPr>
          <w:ilvl w:val="0"/>
          <w:numId w:val="2"/>
        </w:numPr>
        <w:spacing w:before="40" w:after="40"/>
      </w:pPr>
      <w:r>
        <w:rPr>
          <w:rFonts w:ascii="Arial" w:cs="Arial" w:eastAsia="Arial" w:hAnsi="Arial"/>
          <w:color w:val="4A4A4A"/>
          <w:sz w:val="22"/>
          <w:szCs w:val="22"/>
        </w:rPr>
        <w:t xml:space="preserve">Calculadora de MTBF con soporte de datos censurados (Tipo I y II).</w:t>
      </w:r>
    </w:p>
    <w:p>
      <w:pPr>
        <w:pStyle w:val="ListParagraph"/>
        <w:numPr>
          <w:ilvl w:val="0"/>
          <w:numId w:val="2"/>
        </w:numPr>
        <w:spacing w:before="40" w:after="40"/>
      </w:pPr>
      <w:r>
        <w:rPr>
          <w:rFonts w:ascii="Arial" w:cs="Arial" w:eastAsia="Arial" w:hAnsi="Arial"/>
          <w:color w:val="4A4A4A"/>
          <w:sz w:val="22"/>
          <w:szCs w:val="22"/>
        </w:rPr>
        <w:t xml:space="preserve">Visualizador de curva de supervivencia exponencial y probabilidad de alcanzar el MTBF (36.77% teórico).</w:t>
      </w:r>
    </w:p>
    <w:p>
      <w:pPr>
        <w:pStyle w:val="ListParagraph"/>
        <w:numPr>
          <w:ilvl w:val="0"/>
          <w:numId w:val="2"/>
        </w:numPr>
        <w:spacing w:before="40" w:after="40"/>
      </w:pPr>
      <w:r>
        <w:rPr>
          <w:rFonts w:ascii="Arial" w:cs="Arial" w:eastAsia="Arial" w:hAnsi="Arial"/>
          <w:color w:val="4A4A4A"/>
          <w:sz w:val="22"/>
          <w:szCs w:val="22"/>
        </w:rPr>
        <w:t xml:space="preserve">Construcción de intervalos de confianza (Chi-cuadrado) para MTBF.</w:t>
      </w:r>
    </w:p>
    <w:p>
      <w:pPr>
        <w:pStyle w:val="ListParagraph"/>
        <w:numPr>
          <w:ilvl w:val="0"/>
          <w:numId w:val="2"/>
        </w:numPr>
        <w:spacing w:before="40" w:after="40"/>
      </w:pPr>
      <w:r>
        <w:rPr>
          <w:rFonts w:ascii="Arial" w:cs="Arial" w:eastAsia="Arial" w:hAnsi="Arial"/>
          <w:color w:val="4A4A4A"/>
          <w:sz w:val="22"/>
          <w:szCs w:val="22"/>
        </w:rPr>
        <w:t xml:space="preserve">Simulación de impacto de mejoras operativas sobre la curva de confiabilidad de la población.</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7. Motor de Simulación Conceptual</w:t>
      </w:r>
    </w:p>
    <w:p>
      <w:pPr>
        <w:shd w:fill="EBF4F8" w:val="clear"/>
        <w:spacing w:before="100" w:after="100"/>
        <w:ind w:left="360" w:right="360"/>
      </w:pPr>
      <w:r>
        <w:rPr>
          <w:rFonts w:ascii="Arial" w:cs="Arial" w:eastAsia="Arial" w:hAnsi="Arial"/>
          <w:i/>
          <w:iCs/>
          <w:color w:val="1B3A5C"/>
          <w:sz w:val="21"/>
          <w:szCs w:val="21"/>
        </w:rPr>
        <w:t xml:space="preserve">El motor de simulación es el núcleo computacional de SIMBES. Opera bajo el capó, tomando entradas del usuario, ejecutando cálculos físicos simplificados (pero coherentes) y produciendo salidas visualizadas. No requiere programación visible para el usuario.</w:t>
      </w:r>
    </w:p>
    <w:p>
      <w:pPr>
        <w:spacing w:before="60" w:after="60"/>
      </w:pPr>
      <w:r>
        <w:t xml:space="preserve"/>
      </w:r>
    </w:p>
    <w:p>
      <w:pPr>
        <w:spacing w:before="60" w:after="60"/>
      </w:pPr>
      <w:r>
        <w:rPr>
          <w:rFonts w:ascii="Arial" w:cs="Arial" w:eastAsia="Arial" w:hAnsi="Arial"/>
          <w:color w:val="4A4A4A"/>
          <w:sz w:val="22"/>
          <w:szCs w:val="22"/>
        </w:rPr>
        <w:t xml:space="preserve">La tabla siguiente describe el comportamiento del motor para cada dominio de simulación principal: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60"/>
        <w:gridCol w:w="1500"/>
      </w:tblGrid>
      <w:tr>
        <w:tc>
          <w:tcPr>
            <w:tcW w:type="dxa" w:w="18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Dominio</w:t>
            </w:r>
          </w:p>
        </w:tc>
        <w:tc>
          <w:tcPr>
            <w:tcW w:type="dxa" w:w="22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Entradas del Usuario</w:t>
            </w:r>
          </w:p>
        </w:tc>
        <w:tc>
          <w:tcPr>
            <w:tcW w:type="dxa" w:w="22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Lógica Interna del Motor</w:t>
            </w:r>
          </w:p>
        </w:tc>
        <w:tc>
          <w:tcPr>
            <w:tcW w:type="dxa" w:w="166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 / Salida</w:t>
            </w:r>
          </w:p>
        </w:tc>
        <w:tc>
          <w:tcPr>
            <w:tcW w:type="dxa" w:w="15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Alertas / Riesgos</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IPR / Análisis Nodal</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Presión reservorio, presión de burbuja, IP, GOR</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Selección automática Darcy (Pwf &gt; Pb) o Vogel (Pwf &lt; Pb). Intersección IPR vs. VLP.</w:t>
            </w:r>
          </w:p>
        </w:tc>
        <w:tc>
          <w:tcPr>
            <w:tcW w:type="dxa" w:w="16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Gráfica IPR + punto de operación (Q, Pwf)</w:t>
            </w:r>
          </w:p>
        </w:tc>
        <w:tc>
          <w:tcPr>
            <w:tcW w:type="dxa" w:w="1500"/>
            <w:tcBorders>
              <w:top w:val="single" w:color="B0C8D8" w:sz="1"/>
              <w:left w:val="single" w:color="B0C8D8" w:sz="1"/>
              <w:bottom w:val="single" w:color="B0C8D8" w:sz="1"/>
              <w:right w:val="single" w:color="B0C8D8" w:sz="1"/>
            </w:tcBorders>
            <w:shd w:fill="FEF3E2"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Alerta si punto opera &lt; 20% del AOF o &gt; 95% drawdown</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Hidráulica de Bomba</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Caudal objetivo, gradiente fluido, profundidad, GVF, viscosidad</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Cálculo TDH = H_estática + H_fricción (Colebrook-White) + H_contrapresión. Selección de etapas.</w:t>
            </w:r>
          </w:p>
        </w:tc>
        <w:tc>
          <w:tcPr>
            <w:tcW w:type="dxa" w:w="16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N° etapas requeridas, curva H-Q con punto de trabajo</w:t>
            </w:r>
          </w:p>
        </w:tc>
        <w:tc>
          <w:tcPr>
            <w:tcW w:type="dxa" w:w="1500"/>
            <w:tcBorders>
              <w:top w:val="single" w:color="B0C8D8" w:sz="1"/>
              <w:left w:val="single" w:color="B0C8D8" w:sz="1"/>
              <w:bottom w:val="single" w:color="B0C8D8" w:sz="1"/>
              <w:right w:val="single" w:color="B0C8D8" w:sz="1"/>
            </w:tcBorders>
            <w:shd w:fill="FEF3E2"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Alerta si Q &lt; 70% BEP o Q &gt; 130% BEP. Advertencia surging.</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Gas y GVF</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GOR superficial, presión de succión, presión de burbuja, API del crudo</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Cálculo de GVF en succión. Aplicación de factor de degradación a curva H-Q. Evaluación de umbral de gas lock.</w:t>
            </w:r>
          </w:p>
        </w:tc>
        <w:tc>
          <w:tcPr>
            <w:tcW w:type="dxa" w:w="16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GVF en succión (%), factor de degradación de eficiencia</w:t>
            </w:r>
          </w:p>
        </w:tc>
        <w:tc>
          <w:tcPr>
            <w:tcW w:type="dxa" w:w="1500"/>
            <w:tcBorders>
              <w:top w:val="single" w:color="B0C8D8" w:sz="1"/>
              <w:left w:val="single" w:color="B0C8D8" w:sz="1"/>
              <w:bottom w:val="single" w:color="B0C8D8" w:sz="1"/>
              <w:right w:val="single" w:color="B0C8D8" w:sz="1"/>
            </w:tcBorders>
            <w:shd w:fill="FEF3E2"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Alerta gas lock si GVF &gt; 15% sin AGS. Recomendación de gas handler si GVF &gt; 25%.</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Sistema Eléctrico</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Longitud cable, calibre AWG, T° fondo, T° superficie, voltaje nominal, frecuencia VSD</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Resistencia cable corregida por temperatura. Caída de voltaje (V_drop = I × R_T). Estimación THD por tipo de VSD.</w:t>
            </w:r>
          </w:p>
        </w:tc>
        <w:tc>
          <w:tcPr>
            <w:tcW w:type="dxa" w:w="16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Voltaje disponible en motor, caída de voltaje (%), THD estimado (%)</w:t>
            </w:r>
          </w:p>
        </w:tc>
        <w:tc>
          <w:tcPr>
            <w:tcW w:type="dxa" w:w="1500"/>
            <w:tcBorders>
              <w:top w:val="single" w:color="B0C8D8" w:sz="1"/>
              <w:left w:val="single" w:color="B0C8D8" w:sz="1"/>
              <w:bottom w:val="single" w:color="B0C8D8" w:sz="1"/>
              <w:right w:val="single" w:color="B0C8D8" w:sz="1"/>
            </w:tcBorders>
            <w:shd w:fill="FEF3E2"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Alerta si caída &gt; 5% nominal. Advertencia THD &gt; 5% (IEEE 519). Regla Arrhenius si T &gt; T_nominal.</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Diagnóstico de Fallas</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Selección de síntoma observable (amperage, vibración, producción, T°)</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Motor de reglas basado en árbol de decisiones. Correlación síntoma → mecanismo de falla → componente probable.</w:t>
            </w:r>
          </w:p>
        </w:tc>
        <w:tc>
          <w:tcPr>
            <w:tcW w:type="dxa" w:w="16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Hipótesis de causa raíz rankeadas por probabilidad. Código API RP 11S1 sugerido.</w:t>
            </w:r>
          </w:p>
        </w:tc>
        <w:tc>
          <w:tcPr>
            <w:tcW w:type="dxa" w:w="1500"/>
            <w:tcBorders>
              <w:top w:val="single" w:color="B0C8D8" w:sz="1"/>
              <w:left w:val="single" w:color="B0C8D8" w:sz="1"/>
              <w:bottom w:val="single" w:color="B0C8D8" w:sz="1"/>
              <w:right w:val="single" w:color="B0C8D8" w:sz="1"/>
            </w:tcBorders>
            <w:shd w:fill="FEF3E2"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Alerta si múltiples síntomas apuntan a falla catastrófica inminente. Recomendación de paro preventivo.</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Confiabilidad (MTBF)</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N° equipos en campo, fallas registradas, equipos aún operativos (censurados), tiempo de operación</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MTBF con corrección de datos censurados. Curva de supervivencia exponencial R(t) = e^(−t/MTBF). Intervalos Chi-cuadrado.</w:t>
            </w:r>
          </w:p>
        </w:tc>
        <w:tc>
          <w:tcPr>
            <w:tcW w:type="dxa" w:w="16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MTBF estimado (días), probabilidad de supervivencia a t días, límites de confianza 80/90%</w:t>
            </w:r>
          </w:p>
        </w:tc>
        <w:tc>
          <w:tcPr>
            <w:tcW w:type="dxa" w:w="1500"/>
            <w:tcBorders>
              <w:top w:val="single" w:color="B0C8D8" w:sz="1"/>
              <w:left w:val="single" w:color="B0C8D8" w:sz="1"/>
              <w:bottom w:val="single" w:color="B0C8D8" w:sz="1"/>
              <w:right w:val="single" w:color="B0C8D8" w:sz="1"/>
            </w:tcBorders>
            <w:shd w:fill="FEF3E2"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Advertencia de sesgo si &lt; 20% de la población ha fallado. Alerta si MTBF &lt; benchmark de la industria.</w:t>
            </w:r>
          </w:p>
        </w:tc>
      </w:tr>
    </w:tbl>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8. Experiencias de Simulación Recomendadas</w:t>
      </w:r>
    </w:p>
    <w:p>
      <w:pPr>
        <w:spacing w:before="60" w:after="60"/>
      </w:pPr>
      <w:r>
        <w:rPr>
          <w:rFonts w:ascii="Arial" w:cs="Arial" w:eastAsia="Arial" w:hAnsi="Arial"/>
          <w:color w:val="4A4A4A"/>
          <w:sz w:val="22"/>
          <w:szCs w:val="22"/>
        </w:rPr>
        <w:t xml:space="preserve">Las siguientes simulaciones están priorizadas según su impacto pedagógico y frecuencia en situaciones reales de campo: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Prioridad Alta — MVP Obligatorio</w:t>
      </w:r>
    </w:p>
    <w:p>
      <w:pPr>
        <w:pStyle w:val="ListParagraph"/>
        <w:numPr>
          <w:ilvl w:val="0"/>
          <w:numId w:val="3"/>
        </w:numPr>
        <w:spacing w:before="40" w:after="40"/>
      </w:pPr>
      <w:r>
        <w:rPr>
          <w:rFonts w:ascii="Arial" w:cs="Arial" w:eastAsia="Arial" w:hAnsi="Arial"/>
          <w:color w:val="4A4A4A"/>
          <w:sz w:val="22"/>
          <w:szCs w:val="22"/>
        </w:rPr>
        <w:t xml:space="preserve">Construcción de Curva IPR y determinación del punto de operación BES usando Análisis Nodal (Darcy + Vogel).</w:t>
      </w:r>
    </w:p>
    <w:p>
      <w:pPr>
        <w:pStyle w:val="ListParagraph"/>
        <w:numPr>
          <w:ilvl w:val="0"/>
          <w:numId w:val="3"/>
        </w:numPr>
        <w:spacing w:before="40" w:after="40"/>
      </w:pPr>
      <w:r>
        <w:rPr>
          <w:rFonts w:ascii="Arial" w:cs="Arial" w:eastAsia="Arial" w:hAnsi="Arial"/>
          <w:color w:val="4A4A4A"/>
          <w:sz w:val="22"/>
          <w:szCs w:val="22"/>
        </w:rPr>
        <w:t xml:space="preserve">Selección de bomba y número de etapas dado un TDH calculado con Darcy-Weisbach y Colebrook-White.</w:t>
      </w:r>
    </w:p>
    <w:p>
      <w:pPr>
        <w:pStyle w:val="ListParagraph"/>
        <w:numPr>
          <w:ilvl w:val="0"/>
          <w:numId w:val="3"/>
        </w:numPr>
        <w:spacing w:before="40" w:after="40"/>
      </w:pPr>
      <w:r>
        <w:rPr>
          <w:rFonts w:ascii="Arial" w:cs="Arial" w:eastAsia="Arial" w:hAnsi="Arial"/>
          <w:color w:val="4A4A4A"/>
          <w:sz w:val="22"/>
          <w:szCs w:val="22"/>
        </w:rPr>
        <w:t xml:space="preserve">Impacto del GVF en la eficiencia de la bomba: simulación de degradación de curva H-Q a distintos niveles de gas libre.</w:t>
      </w:r>
    </w:p>
    <w:p>
      <w:pPr>
        <w:pStyle w:val="ListParagraph"/>
        <w:numPr>
          <w:ilvl w:val="0"/>
          <w:numId w:val="3"/>
        </w:numPr>
        <w:spacing w:before="40" w:after="40"/>
      </w:pPr>
      <w:r>
        <w:rPr>
          <w:rFonts w:ascii="Arial" w:cs="Arial" w:eastAsia="Arial" w:hAnsi="Arial"/>
          <w:color w:val="4A4A4A"/>
          <w:sz w:val="22"/>
          <w:szCs w:val="22"/>
        </w:rPr>
        <w:t xml:space="preserve">Operación del VSD: variación de frecuencia y su impacto en caudal, TDH y consumo energético (Leyes de Afinidad).</w:t>
      </w:r>
    </w:p>
    <w:p>
      <w:pPr>
        <w:pStyle w:val="ListParagraph"/>
        <w:numPr>
          <w:ilvl w:val="0"/>
          <w:numId w:val="3"/>
        </w:numPr>
        <w:spacing w:before="40" w:after="40"/>
      </w:pPr>
      <w:r>
        <w:rPr>
          <w:rFonts w:ascii="Arial" w:cs="Arial" w:eastAsia="Arial" w:hAnsi="Arial"/>
          <w:color w:val="4A4A4A"/>
          <w:sz w:val="22"/>
          <w:szCs w:val="22"/>
        </w:rPr>
        <w:t xml:space="preserve">Diagnóstico básico de falla por subcarga / sobrecarga en carta amperimétrrica.</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Prioridad Media — Fase 2</w:t>
      </w:r>
    </w:p>
    <w:p>
      <w:pPr>
        <w:pStyle w:val="ListParagraph"/>
        <w:numPr>
          <w:ilvl w:val="0"/>
          <w:numId w:val="3"/>
        </w:numPr>
        <w:spacing w:before="40" w:after="40"/>
      </w:pPr>
      <w:r>
        <w:rPr>
          <w:rFonts w:ascii="Arial" w:cs="Arial" w:eastAsia="Arial" w:hAnsi="Arial"/>
          <w:color w:val="4A4A4A"/>
          <w:sz w:val="22"/>
          <w:szCs w:val="22"/>
        </w:rPr>
        <w:t xml:space="preserve">Simulación de gas lock: evolución de GVF con declino de presión de reservorio y activación de separador AGS.</w:t>
      </w:r>
    </w:p>
    <w:p>
      <w:pPr>
        <w:pStyle w:val="ListParagraph"/>
        <w:numPr>
          <w:ilvl w:val="0"/>
          <w:numId w:val="3"/>
        </w:numPr>
        <w:spacing w:before="40" w:after="40"/>
      </w:pPr>
      <w:r>
        <w:rPr>
          <w:rFonts w:ascii="Arial" w:cs="Arial" w:eastAsia="Arial" w:hAnsi="Arial"/>
          <w:color w:val="4A4A4A"/>
          <w:sz w:val="22"/>
          <w:szCs w:val="22"/>
        </w:rPr>
        <w:t xml:space="preserve">Impacto de la viscosidad del crudo sobre eficiencia hidráulica y corrección de curvas de bomba.</w:t>
      </w:r>
    </w:p>
    <w:p>
      <w:pPr>
        <w:pStyle w:val="ListParagraph"/>
        <w:numPr>
          <w:ilvl w:val="0"/>
          <w:numId w:val="3"/>
        </w:numPr>
        <w:spacing w:before="40" w:after="40"/>
      </w:pPr>
      <w:r>
        <w:rPr>
          <w:rFonts w:ascii="Arial" w:cs="Arial" w:eastAsia="Arial" w:hAnsi="Arial"/>
          <w:color w:val="4A4A4A"/>
          <w:sz w:val="22"/>
          <w:szCs w:val="22"/>
        </w:rPr>
        <w:t xml:space="preserve">Caída de voltaje en cable: sensibilidad a calibre AWG, longitud y temperatura de fondo.</w:t>
      </w:r>
    </w:p>
    <w:p>
      <w:pPr>
        <w:pStyle w:val="ListParagraph"/>
        <w:numPr>
          <w:ilvl w:val="0"/>
          <w:numId w:val="3"/>
        </w:numPr>
        <w:spacing w:before="40" w:after="40"/>
      </w:pPr>
      <w:r>
        <w:rPr>
          <w:rFonts w:ascii="Arial" w:cs="Arial" w:eastAsia="Arial" w:hAnsi="Arial"/>
          <w:color w:val="4A4A4A"/>
          <w:sz w:val="22"/>
          <w:szCs w:val="22"/>
        </w:rPr>
        <w:t xml:space="preserve">Regla de Arrhenius aplicada: simulación de reducción de vida útil del aislamiento por operación fuera de rango térmico.</w:t>
      </w:r>
    </w:p>
    <w:p>
      <w:pPr>
        <w:pStyle w:val="ListParagraph"/>
        <w:numPr>
          <w:ilvl w:val="0"/>
          <w:numId w:val="3"/>
        </w:numPr>
        <w:spacing w:before="40" w:after="40"/>
      </w:pPr>
      <w:r>
        <w:rPr>
          <w:rFonts w:ascii="Arial" w:cs="Arial" w:eastAsia="Arial" w:hAnsi="Arial"/>
          <w:color w:val="4A4A4A"/>
          <w:sz w:val="22"/>
          <w:szCs w:val="22"/>
        </w:rPr>
        <w:t xml:space="preserve">Caso forense DIFA completo: desde síntoma hasta codificación API RP 11S1 y recomendación preventiva.</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Prioridad Baja — Fase 3</w:t>
      </w:r>
    </w:p>
    <w:p>
      <w:pPr>
        <w:pStyle w:val="ListParagraph"/>
        <w:numPr>
          <w:ilvl w:val="0"/>
          <w:numId w:val="3"/>
        </w:numPr>
        <w:spacing w:before="40" w:after="40"/>
      </w:pPr>
      <w:r>
        <w:rPr>
          <w:rFonts w:ascii="Arial" w:cs="Arial" w:eastAsia="Arial" w:hAnsi="Arial"/>
          <w:color w:val="4A4A4A"/>
          <w:sz w:val="22"/>
          <w:szCs w:val="22"/>
        </w:rPr>
        <w:t xml:space="preserve">Modelado de confiabilidad con datos censurados: construcción de curva de supervivencia de flota BES.</w:t>
      </w:r>
    </w:p>
    <w:p>
      <w:pPr>
        <w:pStyle w:val="ListParagraph"/>
        <w:numPr>
          <w:ilvl w:val="0"/>
          <w:numId w:val="3"/>
        </w:numPr>
        <w:spacing w:before="40" w:after="40"/>
      </w:pPr>
      <w:r>
        <w:rPr>
          <w:rFonts w:ascii="Arial" w:cs="Arial" w:eastAsia="Arial" w:hAnsi="Arial"/>
          <w:color w:val="4A4A4A"/>
          <w:sz w:val="22"/>
          <w:szCs w:val="22"/>
        </w:rPr>
        <w:t xml:space="preserve">Comparación motor de inducción vs. motor de imanes permanentes (PMM): eficiencia a carga parcial, arranque y operación a baja frecuencia.</w:t>
      </w:r>
    </w:p>
    <w:p>
      <w:pPr>
        <w:pStyle w:val="ListParagraph"/>
        <w:numPr>
          <w:ilvl w:val="0"/>
          <w:numId w:val="3"/>
        </w:numPr>
        <w:spacing w:before="40" w:after="40"/>
      </w:pPr>
      <w:r>
        <w:rPr>
          <w:rFonts w:ascii="Arial" w:cs="Arial" w:eastAsia="Arial" w:hAnsi="Arial"/>
          <w:color w:val="4A4A4A"/>
          <w:sz w:val="22"/>
          <w:szCs w:val="22"/>
        </w:rPr>
        <w:t xml:space="preserve">Simulación de armónicas THD bajo distintas topologías de VSD (estándar, multipulso 12/18, AFE).</w:t>
      </w:r>
    </w:p>
    <w:p>
      <w:pPr>
        <w:pStyle w:val="ListParagraph"/>
        <w:numPr>
          <w:ilvl w:val="0"/>
          <w:numId w:val="3"/>
        </w:numPr>
        <w:spacing w:before="40" w:after="40"/>
      </w:pPr>
      <w:r>
        <w:rPr>
          <w:rFonts w:ascii="Arial" w:cs="Arial" w:eastAsia="Arial" w:hAnsi="Arial"/>
          <w:color w:val="4A4A4A"/>
          <w:sz w:val="22"/>
          <w:szCs w:val="22"/>
        </w:rPr>
        <w:t xml:space="preserve">Escenario de pozo completo: configuración integral desde yacimiento hasta cabezal, con declino y optimización de frecuencia.</w:t>
      </w:r>
    </w:p>
    <w:p>
      <w:pPr>
        <w:pStyle w:val="ListParagraph"/>
        <w:numPr>
          <w:ilvl w:val="0"/>
          <w:numId w:val="3"/>
        </w:numPr>
        <w:spacing w:before="40" w:after="40"/>
      </w:pPr>
      <w:r>
        <w:rPr>
          <w:rFonts w:ascii="Arial" w:cs="Arial" w:eastAsia="Arial" w:hAnsi="Arial"/>
          <w:color w:val="4A4A4A"/>
          <w:sz w:val="22"/>
          <w:szCs w:val="22"/>
        </w:rPr>
        <w:t xml:space="preserve">Selección de materiales de cable y elastómeros bajo condiciones H₂S / alta temperatura (NACE MR0175).</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9. Arquitectura de Información</w:t>
      </w:r>
    </w:p>
    <w:p>
      <w:pPr>
        <w:pStyle w:val="Heading2"/>
        <w:spacing w:before="280" w:after="80"/>
      </w:pPr>
      <w:r>
        <w:rPr>
          <w:rFonts w:ascii="Arial" w:cs="Arial" w:eastAsia="Arial" w:hAnsi="Arial"/>
          <w:b/>
          <w:bCs/>
          <w:color w:val="1A7A6E"/>
          <w:sz w:val="24"/>
          <w:szCs w:val="24"/>
        </w:rPr>
        <w:t xml:space="preserve">9.1 Jerarquía de Pantallas Principales</w:t>
      </w:r>
    </w:p>
    <w:p>
      <w:pPr>
        <w:shd w:fill="EBF4F8" w:val="clear"/>
        <w:spacing w:before="100" w:after="100"/>
        <w:ind w:left="360" w:right="360"/>
      </w:pPr>
      <w:r>
        <w:rPr>
          <w:rFonts w:ascii="Arial" w:cs="Arial" w:eastAsia="Arial" w:hAnsi="Arial"/>
          <w:i/>
          <w:iCs/>
          <w:color w:val="1B3A5C"/>
          <w:sz w:val="21"/>
          <w:szCs w:val="21"/>
        </w:rPr>
        <w:t xml:space="preserve">La navegación de SIMBES sigue una estructura de 3 niveles: Portal de Acceso → Panel Principal (Hub) → Módulo Activo. La navegación lateral entre módulos es posible en todo momento desde el menú persistente.</w:t>
      </w:r>
    </w:p>
    <w:p>
      <w:pPr>
        <w:spacing w:before="60" w:after="60"/>
      </w:pPr>
      <w:r>
        <w:t xml:space="preserve"/>
      </w:r>
    </w:p>
    <w:p>
      <w:pPr>
        <w:pStyle w:val="Heading3"/>
        <w:spacing w:before="200" w:after="60"/>
      </w:pPr>
      <w:r>
        <w:rPr>
          <w:rFonts w:ascii="Arial" w:cs="Arial" w:eastAsia="Arial" w:hAnsi="Arial"/>
          <w:b/>
          <w:bCs/>
          <w:color w:val="3E6B8A"/>
          <w:sz w:val="21"/>
          <w:szCs w:val="21"/>
        </w:rPr>
        <w:t xml:space="preserve">Nivel 0 — Acceso y Perfil</w:t>
      </w:r>
    </w:p>
    <w:p>
      <w:pPr>
        <w:pStyle w:val="ListParagraph"/>
        <w:numPr>
          <w:ilvl w:val="0"/>
          <w:numId w:val="2"/>
        </w:numPr>
        <w:spacing w:before="40" w:after="40"/>
      </w:pPr>
      <w:r>
        <w:rPr>
          <w:rFonts w:ascii="Arial" w:cs="Arial" w:eastAsia="Arial" w:hAnsi="Arial"/>
          <w:color w:val="4A4A4A"/>
          <w:sz w:val="22"/>
          <w:szCs w:val="22"/>
        </w:rPr>
        <w:t xml:space="preserve">Pantalla de Inicio / Login</w:t>
      </w:r>
    </w:p>
    <w:p>
      <w:pPr>
        <w:pStyle w:val="ListParagraph"/>
        <w:numPr>
          <w:ilvl w:val="0"/>
          <w:numId w:val="2"/>
        </w:numPr>
        <w:spacing w:before="40" w:after="40"/>
      </w:pPr>
      <w:r>
        <w:rPr>
          <w:rFonts w:ascii="Arial" w:cs="Arial" w:eastAsia="Arial" w:hAnsi="Arial"/>
          <w:color w:val="4A4A4A"/>
          <w:sz w:val="22"/>
          <w:szCs w:val="22"/>
        </w:rPr>
        <w:t xml:space="preserve">Panel de Perfil de Usuario: historial de simulaciones, nivel de progreso, logros de aprendizaje.</w:t>
      </w:r>
    </w:p>
    <w:p>
      <w:pPr>
        <w:pStyle w:val="ListParagraph"/>
        <w:numPr>
          <w:ilvl w:val="0"/>
          <w:numId w:val="2"/>
        </w:numPr>
        <w:spacing w:before="40" w:after="40"/>
      </w:pPr>
      <w:r>
        <w:rPr>
          <w:rFonts w:ascii="Arial" w:cs="Arial" w:eastAsia="Arial" w:hAnsi="Arial"/>
          <w:color w:val="4A4A4A"/>
          <w:sz w:val="22"/>
          <w:szCs w:val="22"/>
        </w:rPr>
        <w:t xml:space="preserve">Configuración de preferencias: idioma, unidades (SI / Field), nivel de dificultad inicial.</w:t>
      </w:r>
    </w:p>
    <w:p>
      <w:pPr>
        <w:spacing w:before="60" w:after="60"/>
      </w:pPr>
      <w:r>
        <w:t xml:space="preserve"/>
      </w:r>
    </w:p>
    <w:p>
      <w:pPr>
        <w:pStyle w:val="Heading3"/>
        <w:spacing w:before="200" w:after="60"/>
      </w:pPr>
      <w:r>
        <w:rPr>
          <w:rFonts w:ascii="Arial" w:cs="Arial" w:eastAsia="Arial" w:hAnsi="Arial"/>
          <w:b/>
          <w:bCs/>
          <w:color w:val="3E6B8A"/>
          <w:sz w:val="21"/>
          <w:szCs w:val="21"/>
        </w:rPr>
        <w:t xml:space="preserve">Nivel 1 — Hub Principal</w:t>
      </w:r>
    </w:p>
    <w:p>
      <w:pPr>
        <w:pStyle w:val="ListParagraph"/>
        <w:numPr>
          <w:ilvl w:val="0"/>
          <w:numId w:val="2"/>
        </w:numPr>
        <w:spacing w:before="40" w:after="40"/>
      </w:pPr>
      <w:r>
        <w:rPr>
          <w:rFonts w:ascii="Arial" w:cs="Arial" w:eastAsia="Arial" w:hAnsi="Arial"/>
          <w:color w:val="4A4A4A"/>
          <w:sz w:val="22"/>
          <w:szCs w:val="22"/>
        </w:rPr>
        <w:t xml:space="preserve">Dashboard de Progreso: mapa visual de módulos con estado (bloqueado / disponible / completado / dominado).</w:t>
      </w:r>
    </w:p>
    <w:p>
      <w:pPr>
        <w:pStyle w:val="ListParagraph"/>
        <w:numPr>
          <w:ilvl w:val="0"/>
          <w:numId w:val="2"/>
        </w:numPr>
        <w:spacing w:before="40" w:after="40"/>
      </w:pPr>
      <w:r>
        <w:rPr>
          <w:rFonts w:ascii="Arial" w:cs="Arial" w:eastAsia="Arial" w:hAnsi="Arial"/>
          <w:color w:val="4A4A4A"/>
          <w:sz w:val="22"/>
          <w:szCs w:val="22"/>
        </w:rPr>
        <w:t xml:space="preserve">Acceso rápido a última simulación activa.</w:t>
      </w:r>
    </w:p>
    <w:p>
      <w:pPr>
        <w:pStyle w:val="ListParagraph"/>
        <w:numPr>
          <w:ilvl w:val="0"/>
          <w:numId w:val="2"/>
        </w:numPr>
        <w:spacing w:before="40" w:after="40"/>
      </w:pPr>
      <w:r>
        <w:rPr>
          <w:rFonts w:ascii="Arial" w:cs="Arial" w:eastAsia="Arial" w:hAnsi="Arial"/>
          <w:color w:val="4A4A4A"/>
          <w:sz w:val="22"/>
          <w:szCs w:val="22"/>
        </w:rPr>
        <w:t xml:space="preserve">Sección de Noticias / Actualizaciones de contenido BES.</w:t>
      </w:r>
    </w:p>
    <w:p>
      <w:pPr>
        <w:pStyle w:val="ListParagraph"/>
        <w:numPr>
          <w:ilvl w:val="0"/>
          <w:numId w:val="2"/>
        </w:numPr>
        <w:spacing w:before="40" w:after="40"/>
      </w:pPr>
      <w:r>
        <w:rPr>
          <w:rFonts w:ascii="Arial" w:cs="Arial" w:eastAsia="Arial" w:hAnsi="Arial"/>
          <w:color w:val="4A4A4A"/>
          <w:sz w:val="22"/>
          <w:szCs w:val="22"/>
        </w:rPr>
        <w:t xml:space="preserve">Botón de acceso al Constructor de Escenarios de Pozo (modo libre).</w:t>
      </w:r>
    </w:p>
    <w:p>
      <w:pPr>
        <w:spacing w:before="60" w:after="60"/>
      </w:pPr>
      <w:r>
        <w:t xml:space="preserve"/>
      </w:r>
    </w:p>
    <w:p>
      <w:pPr>
        <w:pStyle w:val="Heading3"/>
        <w:spacing w:before="200" w:after="60"/>
      </w:pPr>
      <w:r>
        <w:rPr>
          <w:rFonts w:ascii="Arial" w:cs="Arial" w:eastAsia="Arial" w:hAnsi="Arial"/>
          <w:b/>
          <w:bCs/>
          <w:color w:val="3E6B8A"/>
          <w:sz w:val="21"/>
          <w:szCs w:val="21"/>
        </w:rPr>
        <w:t xml:space="preserve">Nivel 2 — Módulo Activo (estructura común a todos los módulos)</w:t>
      </w:r>
    </w:p>
    <w:p>
      <w:pPr>
        <w:pStyle w:val="ListParagraph"/>
        <w:numPr>
          <w:ilvl w:val="0"/>
          <w:numId w:val="2"/>
        </w:numPr>
        <w:spacing w:before="40" w:after="40"/>
      </w:pPr>
      <w:r>
        <w:rPr>
          <w:rFonts w:ascii="Arial" w:cs="Arial" w:eastAsia="Arial" w:hAnsi="Arial"/>
          <w:color w:val="4A4A4A"/>
          <w:sz w:val="22"/>
          <w:szCs w:val="22"/>
        </w:rPr>
        <w:t xml:space="preserve">Sub-pantalla A — Teoría Contextual: concepto clave, fórmula relevante, animación explicativa (máx. 2 min).</w:t>
      </w:r>
    </w:p>
    <w:p>
      <w:pPr>
        <w:pStyle w:val="ListParagraph"/>
        <w:numPr>
          <w:ilvl w:val="0"/>
          <w:numId w:val="2"/>
        </w:numPr>
        <w:spacing w:before="40" w:after="40"/>
      </w:pPr>
      <w:r>
        <w:rPr>
          <w:rFonts w:ascii="Arial" w:cs="Arial" w:eastAsia="Arial" w:hAnsi="Arial"/>
          <w:color w:val="4A4A4A"/>
          <w:sz w:val="22"/>
          <w:szCs w:val="22"/>
        </w:rPr>
        <w:t xml:space="preserve">Sub-pantalla B — Simulador Interactivo: controles de entrada, visualización en tiempo real, alertas.</w:t>
      </w:r>
    </w:p>
    <w:p>
      <w:pPr>
        <w:pStyle w:val="ListParagraph"/>
        <w:numPr>
          <w:ilvl w:val="0"/>
          <w:numId w:val="2"/>
        </w:numPr>
        <w:spacing w:before="40" w:after="40"/>
      </w:pPr>
      <w:r>
        <w:rPr>
          <w:rFonts w:ascii="Arial" w:cs="Arial" w:eastAsia="Arial" w:hAnsi="Arial"/>
          <w:color w:val="4A4A4A"/>
          <w:sz w:val="22"/>
          <w:szCs w:val="22"/>
        </w:rPr>
        <w:t xml:space="preserve">Sub-pantalla C — Caso Práctico: escenario de campo guiado con objetivos claros.</w:t>
      </w:r>
    </w:p>
    <w:p>
      <w:pPr>
        <w:pStyle w:val="ListParagraph"/>
        <w:numPr>
          <w:ilvl w:val="0"/>
          <w:numId w:val="2"/>
        </w:numPr>
        <w:spacing w:before="40" w:after="40"/>
      </w:pPr>
      <w:r>
        <w:rPr>
          <w:rFonts w:ascii="Arial" w:cs="Arial" w:eastAsia="Arial" w:hAnsi="Arial"/>
          <w:color w:val="4A4A4A"/>
          <w:sz w:val="22"/>
          <w:szCs w:val="22"/>
        </w:rPr>
        <w:t xml:space="preserve">Sub-pantalla D — Evaluación: preguntas + simulación calificada. Retroalimentación detallada al finalizar.</w:t>
      </w:r>
    </w:p>
    <w:p>
      <w:pPr>
        <w:pStyle w:val="ListParagraph"/>
        <w:numPr>
          <w:ilvl w:val="0"/>
          <w:numId w:val="2"/>
        </w:numPr>
        <w:spacing w:before="40" w:after="40"/>
      </w:pPr>
      <w:r>
        <w:rPr>
          <w:rFonts w:ascii="Arial" w:cs="Arial" w:eastAsia="Arial" w:hAnsi="Arial"/>
          <w:color w:val="4A4A4A"/>
          <w:sz w:val="22"/>
          <w:szCs w:val="22"/>
        </w:rPr>
        <w:t xml:space="preserve">Sub-pantalla E — Glosario del Módulo: términos, fórmulas y referencias técnicas del material base.</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9.2 Navegación y Flujos</w:t>
      </w:r>
    </w:p>
    <w:p>
      <w:pPr>
        <w:pStyle w:val="ListParagraph"/>
        <w:numPr>
          <w:ilvl w:val="0"/>
          <w:numId w:val="2"/>
        </w:numPr>
        <w:spacing w:before="40" w:after="40"/>
      </w:pPr>
      <w:r>
        <w:rPr>
          <w:rFonts w:ascii="Arial" w:cs="Arial" w:eastAsia="Arial" w:hAnsi="Arial"/>
          <w:color w:val="4A4A4A"/>
          <w:sz w:val="22"/>
          <w:szCs w:val="22"/>
        </w:rPr>
        <w:t xml:space="preserve">Menú lateral persistente con acceso a los 8 módulos y al Constructor de Escenarios.</w:t>
      </w:r>
    </w:p>
    <w:p>
      <w:pPr>
        <w:pStyle w:val="ListParagraph"/>
        <w:numPr>
          <w:ilvl w:val="0"/>
          <w:numId w:val="2"/>
        </w:numPr>
        <w:spacing w:before="40" w:after="40"/>
      </w:pPr>
      <w:r>
        <w:rPr>
          <w:rFonts w:ascii="Arial" w:cs="Arial" w:eastAsia="Arial" w:hAnsi="Arial"/>
          <w:color w:val="4A4A4A"/>
          <w:sz w:val="22"/>
          <w:szCs w:val="22"/>
        </w:rPr>
        <w:t xml:space="preserve">Breadcrumb visible en todo momento (Módulo &gt; Sub-pantalla actual).</w:t>
      </w:r>
    </w:p>
    <w:p>
      <w:pPr>
        <w:pStyle w:val="ListParagraph"/>
        <w:numPr>
          <w:ilvl w:val="0"/>
          <w:numId w:val="2"/>
        </w:numPr>
        <w:spacing w:before="40" w:after="40"/>
      </w:pPr>
      <w:r>
        <w:rPr>
          <w:rFonts w:ascii="Arial" w:cs="Arial" w:eastAsia="Arial" w:hAnsi="Arial"/>
          <w:color w:val="4A4A4A"/>
          <w:sz w:val="22"/>
          <w:szCs w:val="22"/>
        </w:rPr>
        <w:t xml:space="preserve">Botón de ayuda contextual siempre disponible (explica la variable activa, su unidad y rango típico).</w:t>
      </w:r>
    </w:p>
    <w:p>
      <w:pPr>
        <w:pStyle w:val="ListParagraph"/>
        <w:numPr>
          <w:ilvl w:val="0"/>
          <w:numId w:val="2"/>
        </w:numPr>
        <w:spacing w:before="40" w:after="40"/>
      </w:pPr>
      <w:r>
        <w:rPr>
          <w:rFonts w:ascii="Arial" w:cs="Arial" w:eastAsia="Arial" w:hAnsi="Arial"/>
          <w:color w:val="4A4A4A"/>
          <w:sz w:val="22"/>
          <w:szCs w:val="22"/>
        </w:rPr>
        <w:t xml:space="preserve">Modo Comparación: permite abrir dos escenarios simultáneos en pantalla dividida (Fase 2+).</w:t>
      </w:r>
    </w:p>
    <w:p>
      <w:pPr>
        <w:pStyle w:val="ListParagraph"/>
        <w:numPr>
          <w:ilvl w:val="0"/>
          <w:numId w:val="2"/>
        </w:numPr>
        <w:spacing w:before="40" w:after="40"/>
      </w:pPr>
      <w:r>
        <w:rPr>
          <w:rFonts w:ascii="Arial" w:cs="Arial" w:eastAsia="Arial" w:hAnsi="Arial"/>
          <w:color w:val="4A4A4A"/>
          <w:sz w:val="22"/>
          <w:szCs w:val="22"/>
        </w:rPr>
        <w:t xml:space="preserve">Exportación de resultados a PDF desde cualquier simulación (Fase 2+).</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10. Arquitectura Lógica del Sistema</w:t>
      </w:r>
    </w:p>
    <w:p>
      <w:pPr>
        <w:shd w:fill="EBF4F8" w:val="clear"/>
        <w:spacing w:before="100" w:after="100"/>
        <w:ind w:left="360" w:right="360"/>
      </w:pPr>
      <w:r>
        <w:rPr>
          <w:rFonts w:ascii="Arial" w:cs="Arial" w:eastAsia="Arial" w:hAnsi="Arial"/>
          <w:i/>
          <w:iCs/>
          <w:color w:val="1B3A5C"/>
          <w:sz w:val="21"/>
          <w:szCs w:val="21"/>
        </w:rPr>
        <w:t xml:space="preserve">La arquitectura lógica de SIMBES se organiza en 5 capas funcionales. Cada capa tiene responsabilidades claras y se comunica con las capas adyacentes mediante interfaces definidas. Esta arquitectura permite escalar o reemplazar componentes sin rediseñar el sistema completo.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Capa 1 — Frontend (Interfaz de Usuario)</w:t>
      </w:r>
    </w:p>
    <w:p>
      <w:pPr>
        <w:pStyle w:val="ListParagraph"/>
        <w:numPr>
          <w:ilvl w:val="0"/>
          <w:numId w:val="2"/>
        </w:numPr>
        <w:spacing w:before="40" w:after="40"/>
      </w:pPr>
      <w:r>
        <w:rPr>
          <w:rFonts w:ascii="Arial" w:cs="Arial" w:eastAsia="Arial" w:hAnsi="Arial"/>
          <w:color w:val="4A4A4A"/>
          <w:sz w:val="22"/>
          <w:szCs w:val="22"/>
        </w:rPr>
        <w:t xml:space="preserve">Responsabilidad: presentar información, capturar entradas del usuario, visualizar resultados en tiempo real.</w:t>
      </w:r>
    </w:p>
    <w:p>
      <w:pPr>
        <w:pStyle w:val="ListParagraph"/>
        <w:numPr>
          <w:ilvl w:val="0"/>
          <w:numId w:val="2"/>
        </w:numPr>
        <w:spacing w:before="40" w:after="40"/>
      </w:pPr>
      <w:r>
        <w:rPr>
          <w:rFonts w:ascii="Arial" w:cs="Arial" w:eastAsia="Arial" w:hAnsi="Arial"/>
          <w:color w:val="4A4A4A"/>
          <w:sz w:val="22"/>
          <w:szCs w:val="22"/>
        </w:rPr>
        <w:t xml:space="preserve">Componentes: controles interactivos (sliders, selectores, campos numéricos), gráficas dinámicas (curvas H-Q, IPR, VLP, cartas amperimétricas), dashboards de métricas, alertas visuales, animaciones pedagógicas.</w:t>
      </w:r>
    </w:p>
    <w:p>
      <w:pPr>
        <w:pStyle w:val="ListParagraph"/>
        <w:numPr>
          <w:ilvl w:val="0"/>
          <w:numId w:val="2"/>
        </w:numPr>
        <w:spacing w:before="40" w:after="40"/>
      </w:pPr>
      <w:r>
        <w:rPr>
          <w:rFonts w:ascii="Arial" w:cs="Arial" w:eastAsia="Arial" w:hAnsi="Arial"/>
          <w:color w:val="4A4A4A"/>
          <w:sz w:val="22"/>
          <w:szCs w:val="22"/>
        </w:rPr>
        <w:t xml:space="preserve">Principio clave: toda la complejidad del motor debe ser transparente para el usuario; solo ve entradas y resultados visuales.</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Capa 2 — Capa de Presentación Pedagógica</w:t>
      </w:r>
    </w:p>
    <w:p>
      <w:pPr>
        <w:pStyle w:val="ListParagraph"/>
        <w:numPr>
          <w:ilvl w:val="0"/>
          <w:numId w:val="2"/>
        </w:numPr>
        <w:spacing w:before="40" w:after="40"/>
      </w:pPr>
      <w:r>
        <w:rPr>
          <w:rFonts w:ascii="Arial" w:cs="Arial" w:eastAsia="Arial" w:hAnsi="Arial"/>
          <w:color w:val="4A4A4A"/>
          <w:sz w:val="22"/>
          <w:szCs w:val="22"/>
        </w:rPr>
        <w:t xml:space="preserve">Responsabilidad: gestionar el flujo de aprendizaje progresivo, desbloqueo de módulos, evaluaciones y retroalimentación.</w:t>
      </w:r>
    </w:p>
    <w:p>
      <w:pPr>
        <w:pStyle w:val="ListParagraph"/>
        <w:numPr>
          <w:ilvl w:val="0"/>
          <w:numId w:val="2"/>
        </w:numPr>
        <w:spacing w:before="40" w:after="40"/>
      </w:pPr>
      <w:r>
        <w:rPr>
          <w:rFonts w:ascii="Arial" w:cs="Arial" w:eastAsia="Arial" w:hAnsi="Arial"/>
          <w:color w:val="4A4A4A"/>
          <w:sz w:val="22"/>
          <w:szCs w:val="22"/>
        </w:rPr>
        <w:t xml:space="preserve">Componentes: sistema de niveles (básico/intermedio/avanzado), lógica de prerrequisitos entre módulos, motor de evaluación con rúbricas, generador de retroalimentación contextualizada, sistema de logros y progreso.</w:t>
      </w:r>
    </w:p>
    <w:p>
      <w:pPr>
        <w:pStyle w:val="ListParagraph"/>
        <w:numPr>
          <w:ilvl w:val="0"/>
          <w:numId w:val="2"/>
        </w:numPr>
        <w:spacing w:before="40" w:after="40"/>
      </w:pPr>
      <w:r>
        <w:rPr>
          <w:rFonts w:ascii="Arial" w:cs="Arial" w:eastAsia="Arial" w:hAnsi="Arial"/>
          <w:color w:val="4A4A4A"/>
          <w:sz w:val="22"/>
          <w:szCs w:val="22"/>
        </w:rPr>
        <w:t xml:space="preserve">Interacción clave con la Capa 5 (Analítica de Aprendizaje).</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Capa 3 — Motor de Simulación Conceptual</w:t>
      </w:r>
    </w:p>
    <w:p>
      <w:pPr>
        <w:pStyle w:val="ListParagraph"/>
        <w:numPr>
          <w:ilvl w:val="0"/>
          <w:numId w:val="2"/>
        </w:numPr>
        <w:spacing w:before="40" w:after="40"/>
      </w:pPr>
      <w:r>
        <w:rPr>
          <w:rFonts w:ascii="Arial" w:cs="Arial" w:eastAsia="Arial" w:hAnsi="Arial"/>
          <w:color w:val="4A4A4A"/>
          <w:sz w:val="22"/>
          <w:szCs w:val="22"/>
        </w:rPr>
        <w:t xml:space="preserve">Responsabilidad: ejecutar los cálculos físicos, hidráulicos, eléctricos y estadísticos que sustentan cada simulación.</w:t>
      </w:r>
    </w:p>
    <w:p>
      <w:pPr>
        <w:pStyle w:val="ListParagraph"/>
        <w:numPr>
          <w:ilvl w:val="0"/>
          <w:numId w:val="2"/>
        </w:numPr>
        <w:spacing w:before="40" w:after="40"/>
      </w:pPr>
      <w:r>
        <w:rPr>
          <w:rFonts w:ascii="Arial" w:cs="Arial" w:eastAsia="Arial" w:hAnsi="Arial"/>
          <w:color w:val="4A4A4A"/>
          <w:sz w:val="22"/>
          <w:szCs w:val="22"/>
        </w:rPr>
        <w:t xml:space="preserve">Subsistemas: motor de análisis nodal (IPR/VLP), motor de diseño hidráulico (TDH/etapas), motor de corrección de gas y viscosidad, motor eléctrico (cable, VSD, Arrhenius, THD), motor de diagnóstico (árbol de decisiones de fallas), motor de confiabilidad (MTBF, datos censurados).</w:t>
      </w:r>
    </w:p>
    <w:p>
      <w:pPr>
        <w:pStyle w:val="ListParagraph"/>
        <w:numPr>
          <w:ilvl w:val="0"/>
          <w:numId w:val="2"/>
        </w:numPr>
        <w:spacing w:before="40" w:after="40"/>
      </w:pPr>
      <w:r>
        <w:rPr>
          <w:rFonts w:ascii="Arial" w:cs="Arial" w:eastAsia="Arial" w:hAnsi="Arial"/>
          <w:color w:val="4A4A4A"/>
          <w:sz w:val="22"/>
          <w:szCs w:val="22"/>
        </w:rPr>
        <w:t xml:space="preserve">Principio clave: todas las fórmulas deben ser trazables al material técnico base. Ningún cálculo debe ser una caja negra no documentada.</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Capa 4 — Base de Conocimiento BES</w:t>
      </w:r>
    </w:p>
    <w:p>
      <w:pPr>
        <w:pStyle w:val="ListParagraph"/>
        <w:numPr>
          <w:ilvl w:val="0"/>
          <w:numId w:val="2"/>
        </w:numPr>
        <w:spacing w:before="40" w:after="40"/>
      </w:pPr>
      <w:r>
        <w:rPr>
          <w:rFonts w:ascii="Arial" w:cs="Arial" w:eastAsia="Arial" w:hAnsi="Arial"/>
          <w:color w:val="4A4A4A"/>
          <w:sz w:val="22"/>
          <w:szCs w:val="22"/>
        </w:rPr>
        <w:t xml:space="preserve">Responsabilidad: almacenar el conocimiento técnico estructurado que alimenta el motor de simulación y la capa pedagógica.</w:t>
      </w:r>
    </w:p>
    <w:p>
      <w:pPr>
        <w:pStyle w:val="ListParagraph"/>
        <w:numPr>
          <w:ilvl w:val="0"/>
          <w:numId w:val="2"/>
        </w:numPr>
        <w:spacing w:before="40" w:after="40"/>
      </w:pPr>
      <w:r>
        <w:rPr>
          <w:rFonts w:ascii="Arial" w:cs="Arial" w:eastAsia="Arial" w:hAnsi="Arial"/>
          <w:color w:val="4A4A4A"/>
          <w:sz w:val="22"/>
          <w:szCs w:val="22"/>
        </w:rPr>
        <w:t xml:space="preserve">Contenidos: curvas H-Q de equipos tipo por rango de caudal, propiedades de fluidos PVT representativas, parámetros de cables por calibre y temperatura, datos de referencia de motores por potencia, biblioteca de patrones de falla (síntoma → componente → código DIFA), base de datos de MTBF por tipo de equipo y ambiente operativo.</w:t>
      </w:r>
    </w:p>
    <w:p>
      <w:pPr>
        <w:pStyle w:val="ListParagraph"/>
        <w:numPr>
          <w:ilvl w:val="0"/>
          <w:numId w:val="2"/>
        </w:numPr>
        <w:spacing w:before="40" w:after="40"/>
      </w:pPr>
      <w:r>
        <w:rPr>
          <w:rFonts w:ascii="Arial" w:cs="Arial" w:eastAsia="Arial" w:hAnsi="Arial"/>
          <w:color w:val="4A4A4A"/>
          <w:sz w:val="22"/>
          <w:szCs w:val="22"/>
        </w:rPr>
        <w:t xml:space="preserve">Principio clave: actualizable de forma independiente al motor de simulación.</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Capa 5 — Módulo Analítico y de Evaluación</w:t>
      </w:r>
    </w:p>
    <w:p>
      <w:pPr>
        <w:pStyle w:val="ListParagraph"/>
        <w:numPr>
          <w:ilvl w:val="0"/>
          <w:numId w:val="2"/>
        </w:numPr>
        <w:spacing w:before="40" w:after="40"/>
      </w:pPr>
      <w:r>
        <w:rPr>
          <w:rFonts w:ascii="Arial" w:cs="Arial" w:eastAsia="Arial" w:hAnsi="Arial"/>
          <w:color w:val="4A4A4A"/>
          <w:sz w:val="22"/>
          <w:szCs w:val="22"/>
        </w:rPr>
        <w:t xml:space="preserve">Responsabilidad: registrar el comportamiento del usuario, medir el progreso de aprendizaje y generar reportes para instructores y gestores de talento.</w:t>
      </w:r>
    </w:p>
    <w:p>
      <w:pPr>
        <w:pStyle w:val="ListParagraph"/>
        <w:numPr>
          <w:ilvl w:val="0"/>
          <w:numId w:val="2"/>
        </w:numPr>
        <w:spacing w:before="40" w:after="40"/>
      </w:pPr>
      <w:r>
        <w:rPr>
          <w:rFonts w:ascii="Arial" w:cs="Arial" w:eastAsia="Arial" w:hAnsi="Arial"/>
          <w:color w:val="4A4A4A"/>
          <w:sz w:val="22"/>
          <w:szCs w:val="22"/>
        </w:rPr>
        <w:t xml:space="preserve">Métricas capturadas: tiempo por simulación, precisión en diagnósticos, número de intentos, patrones de error recurrentes, velocidad de progresión entre niveles.</w:t>
      </w:r>
    </w:p>
    <w:p>
      <w:pPr>
        <w:pStyle w:val="ListParagraph"/>
        <w:numPr>
          <w:ilvl w:val="0"/>
          <w:numId w:val="2"/>
        </w:numPr>
        <w:spacing w:before="40" w:after="40"/>
      </w:pPr>
      <w:r>
        <w:rPr>
          <w:rFonts w:ascii="Arial" w:cs="Arial" w:eastAsia="Arial" w:hAnsi="Arial"/>
          <w:color w:val="4A4A4A"/>
          <w:sz w:val="22"/>
          <w:szCs w:val="22"/>
        </w:rPr>
        <w:t xml:space="preserve">Reportes: perfil individual de competencias, comparativa de grupo, áreas de mayor brecha por cohorte.</w:t>
      </w:r>
    </w:p>
    <w:p>
      <w:pPr>
        <w:spacing w:before="60" w:after="60"/>
      </w:pPr>
      <w:r>
        <w:t xml:space="preserve"/>
      </w:r>
    </w:p>
    <w:p>
      <w:pPr>
        <w:shd w:fill="D4EAE4" w:val="clear"/>
        <w:spacing w:before="100" w:after="100"/>
        <w:ind w:left="360" w:right="360"/>
      </w:pPr>
      <w:r>
        <w:rPr>
          <w:rFonts w:ascii="Arial" w:cs="Arial" w:eastAsia="Arial" w:hAnsi="Arial"/>
          <w:i/>
          <w:iCs/>
          <w:color w:val="1B3A5C"/>
          <w:sz w:val="21"/>
          <w:szCs w:val="21"/>
        </w:rPr>
        <w:t xml:space="preserve">Diagrama de capas (esquema textual):
[Usuario] ←→ [Capa 1: Frontend] ←→ [Capa 2: Pedagógica]
                                              ↕
                              [Capa 3: Motor de Simulación]
                                              ↕
                              [Capa 4: Base de Conocimiento BES]
                                              ↕
                              [Capa 5: Analítica y Evaluación]</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11. Roadmap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c>
          <w:tcPr>
            <w:tcW w:type="dxa" w:w="14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Fase</w:t>
            </w:r>
          </w:p>
        </w:tc>
        <w:tc>
          <w:tcPr>
            <w:tcW w:type="dxa" w:w="20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Objetivo</w:t>
            </w:r>
          </w:p>
        </w:tc>
        <w:tc>
          <w:tcPr>
            <w:tcW w:type="dxa" w:w="32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Alcance</w:t>
            </w:r>
          </w:p>
        </w:tc>
        <w:tc>
          <w:tcPr>
            <w:tcW w:type="dxa" w:w="276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 Esperado</w:t>
            </w:r>
          </w:p>
        </w:tc>
      </w:tr>
      <w:tr>
        <w:tc>
          <w:tcPr>
            <w:tcW w:type="dxa" w:w="1400"/>
            <w:tcBorders>
              <w:top w:val="single" w:color="B0C8D8" w:sz="1"/>
              <w:left w:val="single" w:color="B0C8D8" w:sz="1"/>
              <w:bottom w:val="single" w:color="B0C8D8" w:sz="1"/>
              <w:right w:val="single" w:color="B0C8D8" w:sz="1"/>
            </w:tcBorders>
            <w:shd w:fill="D4E3EF" w:val="clear"/>
            <w:tcMar>
              <w:top w:type="dxa" w:w="80"/>
              <w:left w:type="dxa" w:w="120"/>
              <w:bottom w:type="dxa" w:w="80"/>
              <w:right w:type="dxa" w:w="120"/>
            </w:tcMar>
            <w:vAlign w:val="top"/>
          </w:tcPr>
          <w:p>
            <w:r>
              <w:rPr>
                <w:rFonts w:ascii="Arial" w:cs="Arial" w:eastAsia="Arial" w:hAnsi="Arial"/>
                <w:b/>
                <w:bCs/>
                <w:color w:val="4A4A4A"/>
                <w:sz w:val="20"/>
                <w:szCs w:val="20"/>
              </w:rPr>
              <w:t xml:space="preserve">Fase 1
MVP
(0–6 meses)</w:t>
            </w:r>
          </w:p>
        </w:tc>
        <w:tc>
          <w:tcPr>
            <w:tcW w:type="dxa" w:w="20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Validar el concepto pedagógico y el motor de simulación básico con usuarios reales.</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pPr>
              <w:spacing w:before="20" w:after="20"/>
            </w:pPr>
            <w:r>
              <w:rPr>
                <w:rFonts w:ascii="Arial" w:cs="Arial" w:eastAsia="Arial" w:hAnsi="Arial"/>
                <w:color w:val="4A4A4A"/>
                <w:sz w:val="20"/>
                <w:szCs w:val="20"/>
              </w:rPr>
              <w:t xml:space="preserve">• Módulos 1 (IPR/Nodal) y 2 (Hidráulica/TDH) completos.</w:t>
            </w:r>
          </w:p>
          <w:p>
            <w:pPr>
              <w:spacing w:before="20" w:after="20"/>
            </w:pPr>
            <w:r>
              <w:rPr>
                <w:rFonts w:ascii="Arial" w:cs="Arial" w:eastAsia="Arial" w:hAnsi="Arial"/>
                <w:color w:val="4A4A4A"/>
                <w:sz w:val="20"/>
                <w:szCs w:val="20"/>
              </w:rPr>
              <w:t xml:space="preserve">
• Módulo 3 parcial (GVF básico).</w:t>
            </w:r>
          </w:p>
          <w:p>
            <w:pPr>
              <w:spacing w:before="20" w:after="20"/>
            </w:pPr>
            <w:r>
              <w:rPr>
                <w:rFonts w:ascii="Arial" w:cs="Arial" w:eastAsia="Arial" w:hAnsi="Arial"/>
                <w:color w:val="4A4A4A"/>
                <w:sz w:val="20"/>
                <w:szCs w:val="20"/>
              </w:rPr>
              <w:t xml:space="preserve">
• Módulo 4 básico (cable + VSD simple).</w:t>
            </w:r>
          </w:p>
          <w:p>
            <w:pPr>
              <w:spacing w:before="20" w:after="20"/>
            </w:pPr>
            <w:r>
              <w:rPr>
                <w:rFonts w:ascii="Arial" w:cs="Arial" w:eastAsia="Arial" w:hAnsi="Arial"/>
                <w:color w:val="4A4A4A"/>
                <w:sz w:val="20"/>
                <w:szCs w:val="20"/>
              </w:rPr>
              <w:t xml:space="preserve">
• Motor de simulación con 4 subsistemas activos.</w:t>
            </w:r>
          </w:p>
          <w:p>
            <w:pPr>
              <w:spacing w:before="20" w:after="20"/>
            </w:pPr>
            <w:r>
              <w:rPr>
                <w:rFonts w:ascii="Arial" w:cs="Arial" w:eastAsia="Arial" w:hAnsi="Arial"/>
                <w:color w:val="4A4A4A"/>
                <w:sz w:val="20"/>
                <w:szCs w:val="20"/>
              </w:rPr>
              <w:t xml:space="preserve">
• UI funcional (no necesariamente diseño final).</w:t>
            </w:r>
          </w:p>
          <w:p>
            <w:pPr>
              <w:spacing w:before="20" w:after="20"/>
            </w:pPr>
            <w:r>
              <w:rPr>
                <w:rFonts w:ascii="Arial" w:cs="Arial" w:eastAsia="Arial" w:hAnsi="Arial"/>
                <w:color w:val="4A4A4A"/>
                <w:sz w:val="20"/>
                <w:szCs w:val="20"/>
              </w:rPr>
              <w:t xml:space="preserve">
• Sistema de progreso y evaluaciones básicas.</w:t>
            </w:r>
          </w:p>
        </w:tc>
        <w:tc>
          <w:tcPr>
            <w:tcW w:type="dxa" w:w="27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Grupo piloto de 10–20 ingenieros junior. Métricas iniciales de comprensión y engagement. Validación física del motor.</w:t>
            </w:r>
          </w:p>
        </w:tc>
      </w:tr>
      <w:tr>
        <w:tc>
          <w:tcPr>
            <w:tcW w:type="dxa" w:w="1400"/>
            <w:tcBorders>
              <w:top w:val="single" w:color="B0C8D8" w:sz="1"/>
              <w:left w:val="single" w:color="B0C8D8" w:sz="1"/>
              <w:bottom w:val="single" w:color="B0C8D8" w:sz="1"/>
              <w:right w:val="single" w:color="B0C8D8" w:sz="1"/>
            </w:tcBorders>
            <w:shd w:fill="D4EAE4" w:val="clear"/>
            <w:tcMar>
              <w:top w:type="dxa" w:w="80"/>
              <w:left w:type="dxa" w:w="120"/>
              <w:bottom w:type="dxa" w:w="80"/>
              <w:right w:type="dxa" w:w="120"/>
            </w:tcMar>
            <w:vAlign w:val="top"/>
          </w:tcPr>
          <w:p>
            <w:r>
              <w:rPr>
                <w:rFonts w:ascii="Arial" w:cs="Arial" w:eastAsia="Arial" w:hAnsi="Arial"/>
                <w:b/>
                <w:bCs/>
                <w:color w:val="4A4A4A"/>
                <w:sz w:val="20"/>
                <w:szCs w:val="20"/>
              </w:rPr>
              <w:t xml:space="preserve">Fase 2
Simulaciones Avanzadas
(6–14 meses)</w:t>
            </w:r>
          </w:p>
        </w:tc>
        <w:tc>
          <w:tcPr>
            <w:tcW w:type="dxa" w:w="20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Ampliar el repertorio de simulaciones y mejorar la fidelidad pedagógica.</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pPr>
              <w:spacing w:before="20" w:after="20"/>
            </w:pPr>
            <w:r>
              <w:rPr>
                <w:rFonts w:ascii="Arial" w:cs="Arial" w:eastAsia="Arial" w:hAnsi="Arial"/>
                <w:color w:val="4A4A4A"/>
                <w:sz w:val="20"/>
                <w:szCs w:val="20"/>
              </w:rPr>
              <w:t xml:space="preserve">• Módulos 3 completo (gas lock, AGS, gas handler).</w:t>
            </w:r>
          </w:p>
          <w:p>
            <w:pPr>
              <w:spacing w:before="20" w:after="20"/>
            </w:pPr>
            <w:r>
              <w:rPr>
                <w:rFonts w:ascii="Arial" w:cs="Arial" w:eastAsia="Arial" w:hAnsi="Arial"/>
                <w:color w:val="4A4A4A"/>
                <w:sz w:val="20"/>
                <w:szCs w:val="20"/>
              </w:rPr>
              <w:t xml:space="preserve">
• Módulo 4 completo (Arrhenius, THD, NACE).</w:t>
            </w:r>
          </w:p>
          <w:p>
            <w:pPr>
              <w:spacing w:before="20" w:after="20"/>
            </w:pPr>
            <w:r>
              <w:rPr>
                <w:rFonts w:ascii="Arial" w:cs="Arial" w:eastAsia="Arial" w:hAnsi="Arial"/>
                <w:color w:val="4A4A4A"/>
                <w:sz w:val="20"/>
                <w:szCs w:val="20"/>
              </w:rPr>
              <w:t xml:space="preserve">
• Módulo 5 (sensores y monitoreo).</w:t>
            </w:r>
          </w:p>
          <w:p>
            <w:pPr>
              <w:spacing w:before="20" w:after="20"/>
            </w:pPr>
            <w:r>
              <w:rPr>
                <w:rFonts w:ascii="Arial" w:cs="Arial" w:eastAsia="Arial" w:hAnsi="Arial"/>
                <w:color w:val="4A4A4A"/>
                <w:sz w:val="20"/>
                <w:szCs w:val="20"/>
              </w:rPr>
              <w:t xml:space="preserve">
• Módulo 6 (DIFA / API RP 11S1).</w:t>
            </w:r>
          </w:p>
          <w:p>
            <w:pPr>
              <w:spacing w:before="20" w:after="20"/>
            </w:pPr>
            <w:r>
              <w:rPr>
                <w:rFonts w:ascii="Arial" w:cs="Arial" w:eastAsia="Arial" w:hAnsi="Arial"/>
                <w:color w:val="4A4A4A"/>
                <w:sz w:val="20"/>
                <w:szCs w:val="20"/>
              </w:rPr>
              <w:t xml:space="preserve">
• Módulo 8 (Constructor de Escenarios).</w:t>
            </w:r>
          </w:p>
          <w:p>
            <w:pPr>
              <w:spacing w:before="20" w:after="20"/>
            </w:pPr>
            <w:r>
              <w:rPr>
                <w:rFonts w:ascii="Arial" w:cs="Arial" w:eastAsia="Arial" w:hAnsi="Arial"/>
                <w:color w:val="4A4A4A"/>
                <w:sz w:val="20"/>
                <w:szCs w:val="20"/>
              </w:rPr>
              <w:t xml:space="preserve">
• Exportación de resultados a PDF.</w:t>
            </w:r>
          </w:p>
          <w:p>
            <w:pPr>
              <w:spacing w:before="20" w:after="20"/>
            </w:pPr>
            <w:r>
              <w:rPr>
                <w:rFonts w:ascii="Arial" w:cs="Arial" w:eastAsia="Arial" w:hAnsi="Arial"/>
                <w:color w:val="4A4A4A"/>
                <w:sz w:val="20"/>
                <w:szCs w:val="20"/>
              </w:rPr>
              <w:t xml:space="preserve">
• Modo Comparación de escenarios.</w:t>
            </w:r>
          </w:p>
        </w:tc>
        <w:tc>
          <w:tcPr>
            <w:tcW w:type="dxa" w:w="27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Cobertura de todos los temas críticos del material base. Adopción por equipos de formación de compañías operadoras. Inicio de generación de datos de aprendizaje.</w:t>
            </w:r>
          </w:p>
        </w:tc>
      </w:tr>
      <w:tr>
        <w:tc>
          <w:tcPr>
            <w:tcW w:type="dxa" w:w="1400"/>
            <w:tcBorders>
              <w:top w:val="single" w:color="B0C8D8" w:sz="1"/>
              <w:left w:val="single" w:color="B0C8D8" w:sz="1"/>
              <w:bottom w:val="single" w:color="B0C8D8" w:sz="1"/>
              <w:right w:val="single" w:color="B0C8D8" w:sz="1"/>
            </w:tcBorders>
            <w:shd w:fill="FEF3E2" w:val="clear"/>
            <w:tcMar>
              <w:top w:type="dxa" w:w="80"/>
              <w:left w:type="dxa" w:w="120"/>
              <w:bottom w:type="dxa" w:w="80"/>
              <w:right w:type="dxa" w:w="120"/>
            </w:tcMar>
            <w:vAlign w:val="top"/>
          </w:tcPr>
          <w:p>
            <w:r>
              <w:rPr>
                <w:rFonts w:ascii="Arial" w:cs="Arial" w:eastAsia="Arial" w:hAnsi="Arial"/>
                <w:b/>
                <w:bCs/>
                <w:color w:val="4A4A4A"/>
                <w:sz w:val="20"/>
                <w:szCs w:val="20"/>
              </w:rPr>
              <w:t xml:space="preserve">Fase 3
Analítica y Personalización
(14–24 meses)</w:t>
            </w:r>
          </w:p>
        </w:tc>
        <w:tc>
          <w:tcPr>
            <w:tcW w:type="dxa" w:w="20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Incorporar inteligencia sobre el aprendizaje y personalizar la experiencia por usuario.</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pPr>
              <w:spacing w:before="20" w:after="20"/>
            </w:pPr>
            <w:r>
              <w:rPr>
                <w:rFonts w:ascii="Arial" w:cs="Arial" w:eastAsia="Arial" w:hAnsi="Arial"/>
                <w:color w:val="4A4A4A"/>
                <w:sz w:val="20"/>
                <w:szCs w:val="20"/>
              </w:rPr>
              <w:t xml:space="preserve">• Módulo 7 completo (MTBF / Confiabilidad).</w:t>
            </w:r>
          </w:p>
          <w:p>
            <w:pPr>
              <w:spacing w:before="20" w:after="20"/>
            </w:pPr>
            <w:r>
              <w:rPr>
                <w:rFonts w:ascii="Arial" w:cs="Arial" w:eastAsia="Arial" w:hAnsi="Arial"/>
                <w:color w:val="4A4A4A"/>
                <w:sz w:val="20"/>
                <w:szCs w:val="20"/>
              </w:rPr>
              <w:t xml:space="preserve">
• Dashboard analítico para instructores.</w:t>
            </w:r>
          </w:p>
          <w:p>
            <w:pPr>
              <w:spacing w:before="20" w:after="20"/>
            </w:pPr>
            <w:r>
              <w:rPr>
                <w:rFonts w:ascii="Arial" w:cs="Arial" w:eastAsia="Arial" w:hAnsi="Arial"/>
                <w:color w:val="4A4A4A"/>
                <w:sz w:val="20"/>
                <w:szCs w:val="20"/>
              </w:rPr>
              <w:t xml:space="preserve">
• Rutas de aprendizaje personalizadas por perfil.</w:t>
            </w:r>
          </w:p>
          <w:p>
            <w:pPr>
              <w:spacing w:before="20" w:after="20"/>
            </w:pPr>
            <w:r>
              <w:rPr>
                <w:rFonts w:ascii="Arial" w:cs="Arial" w:eastAsia="Arial" w:hAnsi="Arial"/>
                <w:color w:val="4A4A4A"/>
                <w:sz w:val="20"/>
                <w:szCs w:val="20"/>
              </w:rPr>
              <w:t xml:space="preserve">
• Integración con LMS corporativos (SCORM/xAPI).</w:t>
            </w:r>
          </w:p>
          <w:p>
            <w:pPr>
              <w:spacing w:before="20" w:after="20"/>
            </w:pPr>
            <w:r>
              <w:rPr>
                <w:rFonts w:ascii="Arial" w:cs="Arial" w:eastAsia="Arial" w:hAnsi="Arial"/>
                <w:color w:val="4A4A4A"/>
                <w:sz w:val="20"/>
                <w:szCs w:val="20"/>
              </w:rPr>
              <w:t xml:space="preserve">
• API para integración con datos reales de campo.</w:t>
            </w:r>
          </w:p>
          <w:p>
            <w:pPr>
              <w:spacing w:before="20" w:after="20"/>
            </w:pPr>
            <w:r>
              <w:rPr>
                <w:rFonts w:ascii="Arial" w:cs="Arial" w:eastAsia="Arial" w:hAnsi="Arial"/>
                <w:color w:val="4A4A4A"/>
                <w:sz w:val="20"/>
                <w:szCs w:val="20"/>
              </w:rPr>
              <w:t xml:space="preserve">
• Modo multijugador / equipos colaborativos.</w:t>
            </w:r>
          </w:p>
        </w:tc>
        <w:tc>
          <w:tcPr>
            <w:tcW w:type="dxa" w:w="27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Plataforma de formación BES escalable y medible. Capacidad de demostrar ROI en formación técnica. Base de datos de comportamiento de aprendizaje para mejora continua.</w:t>
            </w:r>
          </w:p>
        </w:tc>
      </w:tr>
    </w:tbl>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12. Riesgos y Decisiones Clave</w:t>
      </w:r>
    </w:p>
    <w:p>
      <w:pPr>
        <w:pStyle w:val="Heading2"/>
        <w:spacing w:before="280" w:after="80"/>
      </w:pPr>
      <w:r>
        <w:rPr>
          <w:rFonts w:ascii="Arial" w:cs="Arial" w:eastAsia="Arial" w:hAnsi="Arial"/>
          <w:b/>
          <w:bCs/>
          <w:color w:val="1A7A6E"/>
          <w:sz w:val="24"/>
          <w:szCs w:val="24"/>
        </w:rPr>
        <w:t xml:space="preserve">R1 — Fidelidad Física del Motor de Simulación</w:t>
      </w:r>
    </w:p>
    <w:p>
      <w:pPr>
        <w:spacing w:before="60" w:after="60"/>
      </w:pPr>
      <w:r>
        <w:rPr>
          <w:rFonts w:ascii="Arial" w:cs="Arial" w:eastAsia="Arial" w:hAnsi="Arial"/>
          <w:color w:val="4A4A4A"/>
          <w:sz w:val="22"/>
          <w:szCs w:val="22"/>
        </w:rPr>
        <w:t xml:space="preserve">Riesgo: si las aproximaciones del motor producen resultados que contradigan la física real del BES, el usuario aprende comportamientos incorrectos.</w:t>
      </w:r>
    </w:p>
    <w:p>
      <w:pPr>
        <w:spacing w:before="60" w:after="60"/>
      </w:pPr>
      <w:r>
        <w:rPr>
          <w:rFonts w:ascii="Arial" w:cs="Arial" w:eastAsia="Arial" w:hAnsi="Arial"/>
          <w:color w:val="4A4A4A"/>
          <w:sz w:val="22"/>
          <w:szCs w:val="22"/>
        </w:rPr>
        <w:t xml:space="preserve">Mitigación: cada fórmula implementada debe estar documentada con su fuente (material base, norma, fabricante). Revisión obligatoria por al menos un ingeniero senior BES antes del lanzamiento de cada módulo.</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R2 — Representatividad de Curvas de Equipos</w:t>
      </w:r>
    </w:p>
    <w:p>
      <w:pPr>
        <w:spacing w:before="60" w:after="60"/>
      </w:pPr>
      <w:r>
        <w:rPr>
          <w:rFonts w:ascii="Arial" w:cs="Arial" w:eastAsia="Arial" w:hAnsi="Arial"/>
          <w:color w:val="4A4A4A"/>
          <w:sz w:val="22"/>
          <w:szCs w:val="22"/>
        </w:rPr>
        <w:t xml:space="preserve">Riesgo: las curvas H-Q, eficiencia y motor varían significativamente entre fabricantes y líneas de producto. Usar curvas genéricas puede generar confusión.</w:t>
      </w:r>
    </w:p>
    <w:p>
      <w:pPr>
        <w:spacing w:before="60" w:after="60"/>
      </w:pPr>
      <w:r>
        <w:rPr>
          <w:rFonts w:ascii="Arial" w:cs="Arial" w:eastAsia="Arial" w:hAnsi="Arial"/>
          <w:color w:val="4A4A4A"/>
          <w:sz w:val="22"/>
          <w:szCs w:val="22"/>
        </w:rPr>
        <w:t xml:space="preserve">Mitigación: documentar claramente que las curvas de la base de conocimiento son representativas de equipos tipo, no de fabricantes específicos. Proporcionar rangos típicos con tolerancias explícitas.</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R3 — Complejidad de Flujo Multifásico</w:t>
      </w:r>
    </w:p>
    <w:p>
      <w:pPr>
        <w:spacing w:before="60" w:after="60"/>
      </w:pPr>
      <w:r>
        <w:rPr>
          <w:rFonts w:ascii="Arial" w:cs="Arial" w:eastAsia="Arial" w:hAnsi="Arial"/>
          <w:color w:val="4A4A4A"/>
          <w:sz w:val="22"/>
          <w:szCs w:val="22"/>
        </w:rPr>
        <w:t xml:space="preserve">Riesgo: el comportamiento real del gas en la bomba es altamente no lineal y depende de variables difíciles de simplificar. Un modelo excesivamente simplificado puede ser engañoso.</w:t>
      </w:r>
    </w:p>
    <w:p>
      <w:pPr>
        <w:spacing w:before="60" w:after="60"/>
      </w:pPr>
      <w:r>
        <w:rPr>
          <w:rFonts w:ascii="Arial" w:cs="Arial" w:eastAsia="Arial" w:hAnsi="Arial"/>
          <w:color w:val="4A4A4A"/>
          <w:sz w:val="22"/>
          <w:szCs w:val="22"/>
        </w:rPr>
        <w:t xml:space="preserve">Mitigación: el módulo de gas debe estar claramente marcado como simulación educativa simplificada. Indicar los límites del modelo (e.g., no aplica a GVF &gt; 50% sin separación activa).</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R4 — Adopción del Usuario</w:t>
      </w:r>
    </w:p>
    <w:p>
      <w:pPr>
        <w:spacing w:before="60" w:after="60"/>
      </w:pPr>
      <w:r>
        <w:rPr>
          <w:rFonts w:ascii="Arial" w:cs="Arial" w:eastAsia="Arial" w:hAnsi="Arial"/>
          <w:color w:val="4A4A4A"/>
          <w:sz w:val="22"/>
          <w:szCs w:val="22"/>
        </w:rPr>
        <w:t xml:space="preserve">Riesgo: los ingenieros junior pueden percibir el simulador como un juego y no como una herramienta de formación seria, reduciendo la transferencia de aprendizaje.</w:t>
      </w:r>
    </w:p>
    <w:p>
      <w:pPr>
        <w:spacing w:before="60" w:after="60"/>
      </w:pPr>
      <w:r>
        <w:rPr>
          <w:rFonts w:ascii="Arial" w:cs="Arial" w:eastAsia="Arial" w:hAnsi="Arial"/>
          <w:color w:val="4A4A4A"/>
          <w:sz w:val="22"/>
          <w:szCs w:val="22"/>
        </w:rPr>
        <w:t xml:space="preserve">Mitigación: diseño visual profesional; contexto de campo real en todos los escenarios; evaluaciones con rúbricas claras vinculadas a competencias laborales.</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R5 — Mantenimiento de la Base de Conocimiento</w:t>
      </w:r>
    </w:p>
    <w:p>
      <w:pPr>
        <w:spacing w:before="60" w:after="60"/>
      </w:pPr>
      <w:r>
        <w:rPr>
          <w:rFonts w:ascii="Arial" w:cs="Arial" w:eastAsia="Arial" w:hAnsi="Arial"/>
          <w:color w:val="4A4A4A"/>
          <w:sz w:val="22"/>
          <w:szCs w:val="22"/>
        </w:rPr>
        <w:t xml:space="preserve">Riesgo: las normativas (API RP 11S1, IEEE 519, NACE MR0175) y tecnologías BES evolucionan. El contenido puede quedar desactualizado.</w:t>
      </w:r>
    </w:p>
    <w:p>
      <w:pPr>
        <w:spacing w:before="60" w:after="60"/>
      </w:pPr>
      <w:r>
        <w:rPr>
          <w:rFonts w:ascii="Arial" w:cs="Arial" w:eastAsia="Arial" w:hAnsi="Arial"/>
          <w:color w:val="4A4A4A"/>
          <w:sz w:val="22"/>
          <w:szCs w:val="22"/>
        </w:rPr>
        <w:t xml:space="preserve">Mitigación: diseñar la base de conocimiento como un componente editable independiente del motor. Establecer un proceso de revisión anual con SME (Subject Matter Experts).</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Decisiones Clave a Validar Antes de Construir</w:t>
      </w:r>
    </w:p>
    <w:p>
      <w:pPr>
        <w:pStyle w:val="ListParagraph"/>
        <w:numPr>
          <w:ilvl w:val="0"/>
          <w:numId w:val="2"/>
        </w:numPr>
        <w:spacing w:before="40" w:after="40"/>
      </w:pPr>
      <w:r>
        <w:rPr>
          <w:rFonts w:ascii="Arial" w:cs="Arial" w:eastAsia="Arial" w:hAnsi="Arial"/>
          <w:color w:val="4A4A4A"/>
          <w:sz w:val="22"/>
          <w:szCs w:val="22"/>
        </w:rPr>
        <w:t xml:space="preserve">¿El motor de simulación será basado en reglas (lookup tables + correcciones) o en ecuaciones diferenciales en tiempo real? La primera opción es más robusta para MVP.</w:t>
      </w:r>
    </w:p>
    <w:p>
      <w:pPr>
        <w:pStyle w:val="ListParagraph"/>
        <w:numPr>
          <w:ilvl w:val="0"/>
          <w:numId w:val="2"/>
        </w:numPr>
        <w:spacing w:before="40" w:after="40"/>
      </w:pPr>
      <w:r>
        <w:rPr>
          <w:rFonts w:ascii="Arial" w:cs="Arial" w:eastAsia="Arial" w:hAnsi="Arial"/>
          <w:color w:val="4A4A4A"/>
          <w:sz w:val="22"/>
          <w:szCs w:val="22"/>
        </w:rPr>
        <w:t xml:space="preserve">¿Las curvas de equipos serán completamente ficticias (para evitar IP de fabricantes) o se usarán con licencia?</w:t>
      </w:r>
    </w:p>
    <w:p>
      <w:pPr>
        <w:pStyle w:val="ListParagraph"/>
        <w:numPr>
          <w:ilvl w:val="0"/>
          <w:numId w:val="2"/>
        </w:numPr>
        <w:spacing w:before="40" w:after="40"/>
      </w:pPr>
      <w:r>
        <w:rPr>
          <w:rFonts w:ascii="Arial" w:cs="Arial" w:eastAsia="Arial" w:hAnsi="Arial"/>
          <w:color w:val="4A4A4A"/>
          <w:sz w:val="22"/>
          <w:szCs w:val="22"/>
        </w:rPr>
        <w:t xml:space="preserve">¿El simulador operará 100% en browser (web app) o también en modo offline (app instalable)? Esto afecta la arquitectura de datos.</w:t>
      </w:r>
    </w:p>
    <w:p>
      <w:pPr>
        <w:pStyle w:val="ListParagraph"/>
        <w:numPr>
          <w:ilvl w:val="0"/>
          <w:numId w:val="2"/>
        </w:numPr>
        <w:spacing w:before="40" w:after="40"/>
      </w:pPr>
      <w:r>
        <w:rPr>
          <w:rFonts w:ascii="Arial" w:cs="Arial" w:eastAsia="Arial" w:hAnsi="Arial"/>
          <w:color w:val="4A4A4A"/>
          <w:sz w:val="22"/>
          <w:szCs w:val="22"/>
        </w:rPr>
        <w:t xml:space="preserve">¿Qué sistema de gestión de aprendizaje (LMS) usa el cliente? La integración xAPI/SCORM es compleja y debe definirse desde el MVP.</w:t>
      </w:r>
    </w:p>
    <w:p>
      <w:r>
        <w:br w:type="page"/>
      </w:r>
    </w:p>
    <w:p>
      <w:pPr>
        <w:pStyle w:val="Heading1"/>
        <w:pBdr>
          <w:bottom w:val="single" w:color="1B3A5C" w:sz="8" w:space="4"/>
        </w:pBdr>
        <w:spacing w:before="360" w:after="120"/>
      </w:pPr>
      <w:r>
        <w:rPr>
          <w:rFonts w:ascii="Arial" w:cs="Arial" w:eastAsia="Arial" w:hAnsi="Arial"/>
          <w:b/>
          <w:bCs/>
          <w:color w:val="1B3A5C"/>
          <w:sz w:val="30"/>
          <w:szCs w:val="30"/>
        </w:rPr>
        <w:t xml:space="preserve">13. Recomendaciones Finales y Siguientes Pasos</w:t>
      </w:r>
    </w:p>
    <w:p>
      <w:pPr>
        <w:pStyle w:val="Heading2"/>
        <w:spacing w:before="280" w:after="80"/>
      </w:pPr>
      <w:r>
        <w:rPr>
          <w:rFonts w:ascii="Arial" w:cs="Arial" w:eastAsia="Arial" w:hAnsi="Arial"/>
          <w:b/>
          <w:bCs/>
          <w:color w:val="1A7A6E"/>
          <w:sz w:val="24"/>
          <w:szCs w:val="24"/>
        </w:rPr>
        <w:t xml:space="preserve">13.1 Para Pasar de Arquitectura a Definición Funcional</w:t>
      </w:r>
    </w:p>
    <w:p>
      <w:pPr>
        <w:pStyle w:val="ListParagraph"/>
        <w:numPr>
          <w:ilvl w:val="0"/>
          <w:numId w:val="3"/>
        </w:numPr>
        <w:spacing w:before="40" w:after="40"/>
      </w:pPr>
      <w:r>
        <w:rPr>
          <w:rFonts w:ascii="Arial" w:cs="Arial" w:eastAsia="Arial" w:hAnsi="Arial"/>
          <w:color w:val="4A4A4A"/>
          <w:sz w:val="22"/>
          <w:szCs w:val="22"/>
        </w:rPr>
        <w:t xml:space="preserve">Sesión de validación técnica con SME (Subject Matter Experts BES): revisar el motor de simulación conceptual de la Sección 7 con al menos 2 ingenieros senior BES para confirmar coherencia física antes de cualquier desarrollo.</w:t>
      </w:r>
    </w:p>
    <w:p>
      <w:pPr>
        <w:pStyle w:val="ListParagraph"/>
        <w:numPr>
          <w:ilvl w:val="0"/>
          <w:numId w:val="3"/>
        </w:numPr>
        <w:spacing w:before="40" w:after="40"/>
      </w:pPr>
      <w:r>
        <w:rPr>
          <w:rFonts w:ascii="Arial" w:cs="Arial" w:eastAsia="Arial" w:hAnsi="Arial"/>
          <w:color w:val="4A4A4A"/>
          <w:sz w:val="22"/>
          <w:szCs w:val="22"/>
        </w:rPr>
        <w:t xml:space="preserve">Workshop de definición de usuario con ingenieros junior: realizar 4–6 entrevistas estructuradas con el perfil objetivo para validar las brechas identificadas en la Sección 3 y priorizar módulos del MVP.</w:t>
      </w:r>
    </w:p>
    <w:p>
      <w:pPr>
        <w:pStyle w:val="ListParagraph"/>
        <w:numPr>
          <w:ilvl w:val="0"/>
          <w:numId w:val="3"/>
        </w:numPr>
        <w:spacing w:before="40" w:after="40"/>
      </w:pPr>
      <w:r>
        <w:rPr>
          <w:rFonts w:ascii="Arial" w:cs="Arial" w:eastAsia="Arial" w:hAnsi="Arial"/>
          <w:color w:val="4A4A4A"/>
          <w:sz w:val="22"/>
          <w:szCs w:val="22"/>
        </w:rPr>
        <w:t xml:space="preserve">Prototipo de baja fidelidad (wireframes): crear prototipos navegables de los Módulos 1 y 2 para validar flujo de UX antes de inversión en desarrollo.</w:t>
      </w:r>
    </w:p>
    <w:p>
      <w:pPr>
        <w:pStyle w:val="ListParagraph"/>
        <w:numPr>
          <w:ilvl w:val="0"/>
          <w:numId w:val="3"/>
        </w:numPr>
        <w:spacing w:before="40" w:after="40"/>
      </w:pPr>
      <w:r>
        <w:rPr>
          <w:rFonts w:ascii="Arial" w:cs="Arial" w:eastAsia="Arial" w:hAnsi="Arial"/>
          <w:color w:val="4A4A4A"/>
          <w:sz w:val="22"/>
          <w:szCs w:val="22"/>
        </w:rPr>
        <w:t xml:space="preserve">Definición del stack tecnológico: tomar las 3 decisiones clave de la Sección 12 (motor de reglas vs. ecuaciones, curvas ficticias vs. licenciadas, web vs. offline) antes de iniciar arquitectura técnica detallada.</w:t>
      </w:r>
    </w:p>
    <w:p>
      <w:pPr>
        <w:pStyle w:val="ListParagraph"/>
        <w:numPr>
          <w:ilvl w:val="0"/>
          <w:numId w:val="3"/>
        </w:numPr>
        <w:spacing w:before="40" w:after="40"/>
      </w:pPr>
      <w:r>
        <w:rPr>
          <w:rFonts w:ascii="Arial" w:cs="Arial" w:eastAsia="Arial" w:hAnsi="Arial"/>
          <w:color w:val="4A4A4A"/>
          <w:sz w:val="22"/>
          <w:szCs w:val="22"/>
        </w:rPr>
        <w:t xml:space="preserve">Plan de contenido pedagógico: definir para cada módulo la secuencia teoría → simulación → caso → evaluación, incluyendo el guion de las animaciones pedagógicas y los casos de campo.</w:t>
      </w:r>
    </w:p>
    <w:p>
      <w:pPr>
        <w:pStyle w:val="ListParagraph"/>
        <w:numPr>
          <w:ilvl w:val="0"/>
          <w:numId w:val="3"/>
        </w:numPr>
        <w:spacing w:before="40" w:after="40"/>
      </w:pPr>
      <w:r>
        <w:rPr>
          <w:rFonts w:ascii="Arial" w:cs="Arial" w:eastAsia="Arial" w:hAnsi="Arial"/>
          <w:color w:val="4A4A4A"/>
          <w:sz w:val="22"/>
          <w:szCs w:val="22"/>
        </w:rPr>
        <w:t xml:space="preserve">Definición de métricas de éxito: antes de lanzar el MVP, establecer los KPIs de adopción, aprendizaje y precisión conceptual con los stakeholders clave.</w:t>
      </w:r>
    </w:p>
    <w:p>
      <w:pPr>
        <w:spacing w:before="60" w:after="60"/>
      </w:pPr>
      <w:r>
        <w:t xml:space="preserve"/>
      </w:r>
    </w:p>
    <w:p>
      <w:pPr>
        <w:pStyle w:val="Heading2"/>
        <w:spacing w:before="280" w:after="80"/>
      </w:pPr>
      <w:r>
        <w:rPr>
          <w:rFonts w:ascii="Arial" w:cs="Arial" w:eastAsia="Arial" w:hAnsi="Arial"/>
          <w:b/>
          <w:bCs/>
          <w:color w:val="1A7A6E"/>
          <w:sz w:val="24"/>
          <w:szCs w:val="24"/>
        </w:rPr>
        <w:t xml:space="preserve">13.2 Métricas de Éxito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60"/>
        <w:gridCol w:w="2200"/>
      </w:tblGrid>
      <w:tr>
        <w:tc>
          <w:tcPr>
            <w:tcW w:type="dxa" w:w="18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Dimensión</w:t>
            </w:r>
          </w:p>
        </w:tc>
        <w:tc>
          <w:tcPr>
            <w:tcW w:type="dxa" w:w="32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Métrica</w:t>
            </w:r>
          </w:p>
        </w:tc>
        <w:tc>
          <w:tcPr>
            <w:tcW w:type="dxa" w:w="216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Objetivo (MVP)</w:t>
            </w:r>
          </w:p>
        </w:tc>
        <w:tc>
          <w:tcPr>
            <w:tcW w:type="dxa" w:w="2200"/>
            <w:tcBorders>
              <w:top w:val="single" w:color="B0C8D8" w:sz="1"/>
              <w:left w:val="single" w:color="B0C8D8" w:sz="1"/>
              <w:bottom w:val="single" w:color="B0C8D8" w:sz="1"/>
              <w:right w:val="single" w:color="B0C8D8"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Instrumento de Medición</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Adopción</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 de ingenieros junior del grupo objetivo que completan al menos 2 módulos en 30 días.</w:t>
            </w:r>
          </w:p>
        </w:tc>
        <w:tc>
          <w:tcPr>
            <w:tcW w:type="dxa" w:w="2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&gt; 70%</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Analytics de la plataforma</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Aprendizaje</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Mejora en score de evaluación entre primera y segunda simulación del mismo módulo.</w:t>
            </w:r>
          </w:p>
        </w:tc>
        <w:tc>
          <w:tcPr>
            <w:tcW w:type="dxa" w:w="2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&gt; 25% de mejora</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Sistema de evaluación integrado</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Precisión Conceptual</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 de respuestas correctas en diagnóstico de fallas por usuarios que completaron Módulo 6.</w:t>
            </w:r>
          </w:p>
        </w:tc>
        <w:tc>
          <w:tcPr>
            <w:tcW w:type="dxa" w:w="2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&gt; 80% en 3er intento</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Evaluaciones del módulo DIFA</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Engagement</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Tiempo promedio de sesión activa (excluye lectura pasiva).</w:t>
            </w:r>
          </w:p>
        </w:tc>
        <w:tc>
          <w:tcPr>
            <w:tcW w:type="dxa" w:w="2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&gt; 18 minutos/sesión</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Analytics de comportamiento</w:t>
            </w:r>
          </w:p>
        </w:tc>
      </w:tr>
      <w:tr>
        <w:tc>
          <w:tcPr>
            <w:tcW w:type="dxa" w:w="1800"/>
            <w:tcBorders>
              <w:top w:val="single" w:color="B0C8D8" w:sz="1"/>
              <w:left w:val="single" w:color="B0C8D8" w:sz="1"/>
              <w:bottom w:val="single" w:color="B0C8D8" w:sz="1"/>
              <w:right w:val="single" w:color="B0C8D8" w:sz="1"/>
            </w:tcBorders>
            <w:shd w:fill="F4F6F8" w:val="clear"/>
            <w:tcMar>
              <w:top w:type="dxa" w:w="80"/>
              <w:left w:type="dxa" w:w="120"/>
              <w:bottom w:type="dxa" w:w="80"/>
              <w:right w:type="dxa" w:w="120"/>
            </w:tcMar>
            <w:vAlign w:val="top"/>
          </w:tcPr>
          <w:p>
            <w:r>
              <w:rPr>
                <w:rFonts w:ascii="Arial" w:cs="Arial" w:eastAsia="Arial" w:hAnsi="Arial"/>
                <w:b/>
                <w:bCs/>
                <w:color w:val="4A4A4A"/>
                <w:sz w:val="20"/>
                <w:szCs w:val="20"/>
              </w:rPr>
              <w:t xml:space="preserve">Transferencia</w:t>
            </w:r>
          </w:p>
        </w:tc>
        <w:tc>
          <w:tcPr>
            <w:tcW w:type="dxa" w:w="3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Autoreporte de aplicación de conceptos en situaciones reales de trabajo (encuesta 60 días post-uso).</w:t>
            </w:r>
          </w:p>
        </w:tc>
        <w:tc>
          <w:tcPr>
            <w:tcW w:type="dxa" w:w="2160"/>
            <w:tcBorders>
              <w:top w:val="single" w:color="B0C8D8" w:sz="1"/>
              <w:left w:val="single" w:color="B0C8D8" w:sz="1"/>
              <w:bottom w:val="single" w:color="B0C8D8" w:sz="1"/>
              <w:right w:val="single" w:color="B0C8D8" w:sz="1"/>
            </w:tcBorders>
            <w:shd w:fill="EBF4F8"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&gt; 65% reportan aplicación</w:t>
            </w:r>
          </w:p>
        </w:tc>
        <w:tc>
          <w:tcPr>
            <w:tcW w:type="dxa" w:w="2200"/>
            <w:tcBorders>
              <w:top w:val="single" w:color="B0C8D8" w:sz="1"/>
              <w:left w:val="single" w:color="B0C8D8" w:sz="1"/>
              <w:bottom w:val="single" w:color="B0C8D8" w:sz="1"/>
              <w:right w:val="single" w:color="B0C8D8" w:sz="1"/>
            </w:tcBorders>
            <w:shd w:fill="FFFFFF" w:val="clear"/>
            <w:tcMar>
              <w:top w:type="dxa" w:w="80"/>
              <w:left w:type="dxa" w:w="120"/>
              <w:bottom w:type="dxa" w:w="80"/>
              <w:right w:type="dxa" w:w="120"/>
            </w:tcMar>
            <w:vAlign w:val="top"/>
          </w:tcPr>
          <w:p>
            <w:r>
              <w:rPr>
                <w:rFonts w:ascii="Arial" w:cs="Arial" w:eastAsia="Arial" w:hAnsi="Arial"/>
                <w:b w:val="false"/>
                <w:bCs w:val="false"/>
                <w:color w:val="4A4A4A"/>
                <w:sz w:val="20"/>
                <w:szCs w:val="20"/>
              </w:rPr>
              <w:t xml:space="preserve">Encuesta de seguimiento</w:t>
            </w:r>
          </w:p>
        </w:tc>
      </w:tr>
    </w:tbl>
    <w:p>
      <w:pPr>
        <w:spacing w:before="60" w:after="60"/>
      </w:pPr>
      <w:r>
        <w:t xml:space="preserve"/>
      </w:r>
    </w:p>
    <w:p>
      <w:pPr>
        <w:shd w:fill="EBF4F8" w:val="clear"/>
        <w:spacing w:before="100" w:after="100"/>
        <w:ind w:left="360" w:right="360"/>
      </w:pPr>
      <w:r>
        <w:rPr>
          <w:rFonts w:ascii="Arial" w:cs="Arial" w:eastAsia="Arial" w:hAnsi="Arial"/>
          <w:i/>
          <w:iCs/>
          <w:color w:val="1B3A5C"/>
          <w:sz w:val="21"/>
          <w:szCs w:val="21"/>
        </w:rPr>
        <w:t xml:space="preserve">SIMBES tiene el potencial de convertirse en el estándar de referencia para formación práctica en sistemas BES. El rigor del material técnico base disponible, combinado con una arquitectura pedagógica sólida, garantiza que el producto pueda competir con los mejores simuladores industriales del sector, con la ventaja adicional de ser accesible, escalable y medible.</w:t>
      </w:r>
    </w:p>
    <w:p>
      <w:pPr>
        <w:spacing w:before="60" w:after="60"/>
      </w:pPr>
      <w:r>
        <w:t xml:space="preserve"/>
      </w:r>
    </w:p>
    <w:p>
      <w:pPr>
        <w:spacing w:before="200" w:after="80"/>
        <w:jc w:val="center"/>
      </w:pPr>
      <w:r>
        <w:rPr>
          <w:rFonts w:ascii="Arial" w:cs="Arial" w:eastAsia="Arial" w:hAnsi="Arial"/>
          <w:b/>
          <w:bCs/>
          <w:i/>
          <w:iCs/>
          <w:color w:val="3E6B8A"/>
          <w:sz w:val="20"/>
          <w:szCs w:val="20"/>
        </w:rPr>
        <w:t xml:space="preserve">— Fin del Documento de Arquitectura SIMBES v1.0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8D8" w:sz="4" w:space="4"/>
      </w:pBdr>
      <w:tabs>
        <w:tab w:val="right" w:pos="9360"/>
      </w:tabs>
      <w:spacing w:before="80"/>
    </w:pPr>
    <w:r>
      <w:rPr>
        <w:rFonts w:ascii="Arial" w:cs="Arial" w:eastAsia="Arial" w:hAnsi="Arial"/>
        <w:color w:val="3E6B8A"/>
        <w:sz w:val="17"/>
        <w:szCs w:val="17"/>
      </w:rPr>
      <w:t xml:space="preserve">Arquitectura Funcional y Pedagógica  |  Uso interno</w:t>
    </w:r>
    <w:r>
      <w:rPr>
        <w:rFonts w:ascii="Arial" w:cs="Arial" w:eastAsia="Arial" w:hAnsi="Arial"/>
      </w:rPr>
      <w:t xml:space="preserve">	</w:t>
    </w:r>
    <w:r>
      <w:rPr>
        <w:rFonts w:ascii="Arial" w:cs="Arial" w:eastAsia="Arial" w:hAnsi="Arial"/>
        <w:color w:val="3E6B8A"/>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6" w:space="4"/>
      </w:pBdr>
      <w:tabs>
        <w:tab w:val="right" w:pos="9360"/>
      </w:tabs>
    </w:pPr>
    <w:r>
      <w:rPr>
        <w:rFonts w:ascii="Arial" w:cs="Arial" w:eastAsia="Arial" w:hAnsi="Arial"/>
        <w:color w:val="3E6B8A"/>
        <w:sz w:val="18"/>
        <w:szCs w:val="18"/>
      </w:rPr>
      <w:t xml:space="preserve">SIMBES — Arquitectura Conceptual del Simulador Operativo BES</w:t>
    </w:r>
    <w:r>
      <w:rPr>
        <w:rFonts w:ascii="Arial" w:cs="Arial" w:eastAsia="Arial" w:hAnsi="Arial"/>
        <w:sz w:val="18"/>
        <w:szCs w:val="18"/>
      </w:rPr>
      <w:t xml:space="preserve">	</w:t>
    </w:r>
    <w:r>
      <w:rPr>
        <w:rFonts w:ascii="Arial" w:cs="Arial" w:eastAsia="Arial" w:hAnsi="Arial"/>
        <w:color w:val="3E6B8A"/>
        <w:sz w:val="18"/>
        <w:szCs w:val="18"/>
      </w:rPr>
      <w:t xml:space="preserve">Confidencial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80"/>
      <w:outlineLvl w:val="1"/>
    </w:pPr>
    <w:rPr>
      <w:rFonts w:ascii="Arial" w:cs="Arial" w:eastAsia="Arial" w:hAnsi="Arial"/>
      <w:b/>
      <w:bCs/>
      <w:color w:val="1A7A6E"/>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E6B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2026-03-09T23:14:13.996Z</dcterms:created>
  <dcterms:modified xsi:type="dcterms:W3CDTF">2026-03-09T23:14:13.997Z</dcterms:modified>
</cp:coreProperties>
</file>

<file path=docProps/custom.xml><?xml version="1.0" encoding="utf-8"?>
<Properties xmlns="http://schemas.openxmlformats.org/officeDocument/2006/custom-properties" xmlns:vt="http://schemas.openxmlformats.org/officeDocument/2006/docPropsVTypes"/>
</file>