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735D00" w14:textId="616AD7CC" w:rsidR="00D7522C" w:rsidRPr="00B17254" w:rsidRDefault="00D072E1" w:rsidP="00B17254">
      <w:pPr>
        <w:pStyle w:val="papertitle"/>
        <w:spacing w:before="5pt" w:beforeAutospacing="1" w:after="5pt" w:afterAutospacing="1"/>
        <w:sectPr w:rsidR="00D7522C" w:rsidRPr="00B17254" w:rsidSect="001A3B3D">
          <w:footerReference w:type="first" r:id="rId8"/>
          <w:pgSz w:w="612pt" w:h="792pt" w:code="1"/>
          <w:pgMar w:top="54pt" w:right="44.65pt" w:bottom="72pt" w:left="44.65pt" w:header="36pt" w:footer="36pt" w:gutter="0pt"/>
          <w:cols w:space="36pt"/>
          <w:titlePg/>
          <w:docGrid w:linePitch="360"/>
        </w:sectPr>
      </w:pPr>
      <w:r>
        <w:t>A Descriptive Analysis of Holiday Trave</w:t>
      </w:r>
      <w:r w:rsidR="00B17254">
        <w:t>l Experiences Using Sentiment and Market Features From AirBNB Reviews</w:t>
      </w:r>
    </w:p>
    <w:p w14:paraId="493F8B8E" w14:textId="77777777" w:rsidR="00F902AB" w:rsidRDefault="00F902AB" w:rsidP="00B17254">
      <w:pPr>
        <w:pStyle w:val="Author"/>
        <w:spacing w:before="5pt" w:beforeAutospacing="1"/>
        <w:jc w:val="both"/>
        <w:rPr>
          <w:sz w:val="18"/>
          <w:szCs w:val="18"/>
        </w:rPr>
        <w:sectPr w:rsidR="00F902AB" w:rsidSect="00F847A6">
          <w:type w:val="continuous"/>
          <w:pgSz w:w="612pt" w:h="792pt" w:code="1"/>
          <w:pgMar w:top="54pt" w:right="44.65pt" w:bottom="72pt" w:left="44.65pt" w:header="36pt" w:footer="36pt" w:gutter="0pt"/>
          <w:cols w:num="4" w:space="10.80pt"/>
          <w:docGrid w:linePitch="360"/>
        </w:sectPr>
      </w:pPr>
    </w:p>
    <w:p w14:paraId="079DCF0E" w14:textId="75462F5C" w:rsidR="00CA4392" w:rsidRDefault="00F902AB" w:rsidP="00B17254">
      <w:pPr>
        <w:pStyle w:val="Author"/>
        <w:spacing w:before="5pt" w:beforeAutospacing="1"/>
        <w:contextualSpacing/>
        <w:rPr>
          <w:sz w:val="18"/>
          <w:szCs w:val="18"/>
        </w:rPr>
      </w:pPr>
      <w:r>
        <w:rPr>
          <w:sz w:val="18"/>
          <w:szCs w:val="18"/>
        </w:rPr>
        <w:t>Braum Russell</w:t>
      </w:r>
    </w:p>
    <w:p w14:paraId="62F3FE56" w14:textId="17C2008C" w:rsidR="00F902AB" w:rsidRDefault="00F902AB" w:rsidP="00F902AB">
      <w:pPr>
        <w:pStyle w:val="Author"/>
        <w:spacing w:before="5pt" w:beforeAutospacing="1"/>
        <w:contextualSpacing/>
        <w:rPr>
          <w:sz w:val="18"/>
          <w:szCs w:val="18"/>
        </w:rPr>
      </w:pPr>
      <w:r>
        <w:rPr>
          <w:sz w:val="18"/>
          <w:szCs w:val="18"/>
        </w:rPr>
        <w:t>Department of Computer and Information Science</w:t>
      </w:r>
    </w:p>
    <w:p w14:paraId="5A16CCE9" w14:textId="7F5DC78E" w:rsidR="00F902AB" w:rsidRDefault="00F902AB" w:rsidP="00F902AB">
      <w:pPr>
        <w:pStyle w:val="Author"/>
        <w:spacing w:before="5pt" w:beforeAutospacing="1"/>
        <w:contextualSpacing/>
        <w:rPr>
          <w:sz w:val="18"/>
          <w:szCs w:val="18"/>
        </w:rPr>
      </w:pPr>
      <w:r>
        <w:rPr>
          <w:sz w:val="18"/>
          <w:szCs w:val="18"/>
        </w:rPr>
        <w:t>Fordham University</w:t>
      </w:r>
    </w:p>
    <w:p w14:paraId="40147F64" w14:textId="7FDDB304" w:rsidR="00F902AB" w:rsidRDefault="00F902AB" w:rsidP="00F902AB">
      <w:pPr>
        <w:pStyle w:val="Author"/>
        <w:spacing w:before="5pt" w:beforeAutospacing="1"/>
        <w:contextualSpacing/>
        <w:rPr>
          <w:sz w:val="18"/>
          <w:szCs w:val="18"/>
        </w:rPr>
      </w:pPr>
      <w:r>
        <w:rPr>
          <w:sz w:val="18"/>
          <w:szCs w:val="18"/>
        </w:rPr>
        <w:t>New York City, New York</w:t>
      </w:r>
    </w:p>
    <w:p w14:paraId="1189AFDA" w14:textId="01071AAA" w:rsidR="00F902AB" w:rsidRDefault="00F902AB" w:rsidP="00F902AB">
      <w:pPr>
        <w:pStyle w:val="Author"/>
        <w:spacing w:before="5pt" w:beforeAutospacing="1"/>
        <w:contextualSpacing/>
        <w:rPr>
          <w:sz w:val="18"/>
          <w:szCs w:val="18"/>
        </w:rPr>
      </w:pPr>
      <w:r>
        <w:rPr>
          <w:sz w:val="18"/>
          <w:szCs w:val="18"/>
        </w:rPr>
        <w:t>bpr2@fordham.edu</w:t>
      </w: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902AB">
          <w:type w:val="continuous"/>
          <w:pgSz w:w="612pt" w:h="792pt" w:code="1"/>
          <w:pgMar w:top="54pt" w:right="44.65pt" w:bottom="72pt" w:left="44.65pt" w:header="36pt" w:footer="36pt" w:gutter="0pt"/>
          <w:cols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872C9D1" w14:textId="397EE51E" w:rsidR="002A202C" w:rsidRPr="002A202C" w:rsidRDefault="009303D9" w:rsidP="002A202C">
      <w:pPr>
        <w:pStyle w:val="Abstract"/>
      </w:pPr>
      <w:r>
        <w:rPr>
          <w:i/>
          <w:iCs/>
        </w:rPr>
        <w:t>Abstract</w:t>
      </w:r>
      <w:r>
        <w:t>—</w:t>
      </w:r>
      <w:r w:rsidR="002A202C">
        <w:t xml:space="preserve">Online </w:t>
      </w:r>
      <w:r w:rsidR="006A47B6">
        <w:t>accommodation</w:t>
      </w:r>
      <w:r w:rsidR="002A202C">
        <w:t xml:space="preserve"> platforms generate large volumes of user-</w:t>
      </w:r>
      <w:r w:rsidR="00887637">
        <w:t>generated</w:t>
      </w:r>
      <w:r w:rsidR="002A202C">
        <w:t xml:space="preserve"> reviews that reflect </w:t>
      </w:r>
      <w:r w:rsidR="00887637">
        <w:t>traveler’s</w:t>
      </w:r>
      <w:r w:rsidR="002A202C">
        <w:t xml:space="preserve"> subjective experiences as well as underlying market dynamics. Understanding how these experiences vary across cities and holidays remain a challenge descriptive data mining problem. This study applies unsupervised clustering to characterize holiday-specific Airbnb city profiles by combining sentiment polarity, emotional composition, and market-related features derived from Airbnb reviews and listings. Using data from the Inside Airbnb project, cities are clustered independently for five major holidays: </w:t>
      </w:r>
      <w:r w:rsidR="00887637">
        <w:t>Christmas</w:t>
      </w:r>
      <w:r w:rsidR="002A202C">
        <w:t xml:space="preserve">, Easter, Halloween, New Year’s and Valentine’s Day. Results show that cities </w:t>
      </w:r>
      <w:r w:rsidR="00887637">
        <w:t>consistently</w:t>
      </w:r>
      <w:r w:rsidR="002A202C">
        <w:t xml:space="preserve"> separate into distinct holiday experience profiles that reflect differences in emotional intensity and market behavior rather than simple sentiment rankings. These findings demonstrate the value of multidimensional sentiment representations for descriptive urban and tourism analytics. </w:t>
      </w:r>
    </w:p>
    <w:p w14:paraId="7FFFA702" w14:textId="601C889E" w:rsidR="009303D9" w:rsidRPr="00D632BE" w:rsidRDefault="009303D9" w:rsidP="006B6B66">
      <w:pPr>
        <w:pStyle w:val="Heading1"/>
      </w:pPr>
      <w:r w:rsidRPr="00D632BE">
        <w:t xml:space="preserve">Introduction </w:t>
      </w:r>
    </w:p>
    <w:p w14:paraId="0DB6F576" w14:textId="495FBF17" w:rsidR="009303D9" w:rsidRDefault="00B336BA" w:rsidP="00E7596C">
      <w:pPr>
        <w:pStyle w:val="BodyText"/>
      </w:pPr>
      <w:r>
        <w:t xml:space="preserve">Holiday travel is commonly </w:t>
      </w:r>
      <w:r w:rsidR="00887637">
        <w:t>associated</w:t>
      </w:r>
      <w:r>
        <w:t xml:space="preserve"> with heightened emotional expectations, distinctive activities, and changes in </w:t>
      </w:r>
      <w:r w:rsidR="00887637">
        <w:t>accommodation</w:t>
      </w:r>
      <w:r>
        <w:t xml:space="preserve"> demand. Online platforms such as Airbnb capture these experiences through millions of user-generated </w:t>
      </w:r>
      <w:r w:rsidR="00887637">
        <w:t>reviews</w:t>
      </w:r>
      <w:r>
        <w:t xml:space="preserve"> that reflect not only </w:t>
      </w:r>
      <w:r w:rsidR="00887637">
        <w:t>satisfaction</w:t>
      </w:r>
      <w:r>
        <w:t xml:space="preserve"> or </w:t>
      </w:r>
      <w:r w:rsidR="00887637">
        <w:t>dissatisfactions</w:t>
      </w:r>
      <w:r>
        <w:t xml:space="preserve">, but also emotional tone, anticipation, and trust. While there is a heavy concentration of previous work on Airbnb data focusing on pricing dynamics or </w:t>
      </w:r>
      <w:r w:rsidR="00887637">
        <w:t>predictive</w:t>
      </w:r>
      <w:r>
        <w:t xml:space="preserve"> modeling tasks, less attention has been given to understand how cities are experienced during holidays from a descriptive </w:t>
      </w:r>
      <w:r w:rsidR="00887637">
        <w:t>perspective</w:t>
      </w:r>
      <w:r>
        <w:t>.</w:t>
      </w:r>
    </w:p>
    <w:p w14:paraId="57167E86" w14:textId="50125430" w:rsidR="00B336BA" w:rsidRDefault="00B336BA" w:rsidP="00E7596C">
      <w:pPr>
        <w:pStyle w:val="BodyText"/>
      </w:pPr>
      <w:r>
        <w:t xml:space="preserve">This project adopts a descriptive data mining approach to explore whether cities exhibit recurring holiday experience profiles when </w:t>
      </w:r>
      <w:r w:rsidR="00887637">
        <w:t>considering</w:t>
      </w:r>
      <w:r>
        <w:t xml:space="preserve"> both emotional sentiment expressed in reviews and </w:t>
      </w:r>
      <w:r w:rsidR="00887637">
        <w:t>structural</w:t>
      </w:r>
      <w:r>
        <w:t xml:space="preserve"> </w:t>
      </w:r>
      <w:r w:rsidR="00887637">
        <w:t>characteristics</w:t>
      </w:r>
      <w:r>
        <w:t xml:space="preserve"> of the Airbnb market. Because there are no predefined labels for concepts such as “holiday experience type”, unsupervised learning is a natural choice. Rather than predicting outcomes or ranking destinations, the goal is to uncover unrevealed </w:t>
      </w:r>
      <w:r w:rsidR="00887637">
        <w:t>structure</w:t>
      </w:r>
      <w:r>
        <w:t xml:space="preserve"> in holiday-related travel experiences.</w:t>
      </w:r>
    </w:p>
    <w:p w14:paraId="7C4C79F4" w14:textId="06527990" w:rsidR="00B336BA" w:rsidRDefault="00B336BA" w:rsidP="00E7596C">
      <w:pPr>
        <w:pStyle w:val="BodyText"/>
      </w:pPr>
      <w:r>
        <w:t>The work follows a outline of:</w:t>
      </w:r>
    </w:p>
    <w:p w14:paraId="2D560D88" w14:textId="64478B2D" w:rsidR="00B336BA" w:rsidRDefault="00B336BA" w:rsidP="00B336BA">
      <w:pPr>
        <w:pStyle w:val="BodyText"/>
        <w:numPr>
          <w:ilvl w:val="0"/>
          <w:numId w:val="26"/>
        </w:numPr>
      </w:pPr>
      <w:r>
        <w:t>Construction of a city-holiday representation that integrates sentiment polarity, emotional composition, and market features derived from Airbnb data.</w:t>
      </w:r>
    </w:p>
    <w:p w14:paraId="20C90D5B" w14:textId="0405C288" w:rsidR="00B336BA" w:rsidRDefault="00B336BA" w:rsidP="00B336BA">
      <w:pPr>
        <w:pStyle w:val="BodyText"/>
        <w:numPr>
          <w:ilvl w:val="0"/>
          <w:numId w:val="26"/>
        </w:numPr>
      </w:pPr>
      <w:r>
        <w:t>A</w:t>
      </w:r>
      <w:r w:rsidR="00671371">
        <w:t xml:space="preserve"> </w:t>
      </w:r>
      <w:r>
        <w:t xml:space="preserve">demonstration that sentiment alone is </w:t>
      </w:r>
      <w:r w:rsidR="00887637">
        <w:t>insufficient</w:t>
      </w:r>
      <w:r>
        <w:t xml:space="preserve"> to capture meaningful holiday experience structure.</w:t>
      </w:r>
    </w:p>
    <w:p w14:paraId="615D2613" w14:textId="1066B2FE" w:rsidR="00B336BA" w:rsidRPr="005B520E" w:rsidRDefault="00B336BA" w:rsidP="00B336BA">
      <w:pPr>
        <w:pStyle w:val="BodyText"/>
        <w:numPr>
          <w:ilvl w:val="0"/>
          <w:numId w:val="26"/>
        </w:numPr>
      </w:pPr>
      <w:r>
        <w:t xml:space="preserve">Identification and interpretation of consistent holiday experience clusters across meaningful holidays using </w:t>
      </w:r>
      <w:r w:rsidR="00887637">
        <w:t>unsupervised</w:t>
      </w:r>
      <w:r>
        <w:t xml:space="preserve"> clustering.</w:t>
      </w:r>
    </w:p>
    <w:p w14:paraId="3EF35B8D" w14:textId="2D216C54" w:rsidR="009303D9" w:rsidRPr="006B6B66" w:rsidRDefault="00D9172B" w:rsidP="006B6B66">
      <w:pPr>
        <w:pStyle w:val="Heading1"/>
      </w:pPr>
      <w:r>
        <w:t>Background</w:t>
      </w:r>
    </w:p>
    <w:p w14:paraId="190C0618" w14:textId="2878AB08" w:rsidR="009303D9" w:rsidRDefault="00403217" w:rsidP="00ED0149">
      <w:pPr>
        <w:pStyle w:val="Heading2"/>
      </w:pPr>
      <w:r>
        <w:t>Airbnb Reviews as Experience Data</w:t>
      </w:r>
    </w:p>
    <w:p w14:paraId="7D528056" w14:textId="001589B1" w:rsidR="009303D9" w:rsidRDefault="00403217" w:rsidP="00E7596C">
      <w:pPr>
        <w:pStyle w:val="BodyText"/>
      </w:pPr>
      <w:r>
        <w:t xml:space="preserve">Airbnb reviews provide a rich source of experiential data because they are voluntarily written, publicly available, and contain detailed emotional and contextual information. Unlike numerical ratings alone, review text captures subjective impressions of stays, expectations, and </w:t>
      </w:r>
      <w:r w:rsidR="00887637">
        <w:t>perceived</w:t>
      </w:r>
      <w:r>
        <w:t xml:space="preserve"> value. At the same time, reviews are subject to platform-specific biases and may not represent all travelers equally depending on their choice of booking. Despite this, Airbnb reviews are widely used </w:t>
      </w:r>
      <w:r w:rsidR="00671371">
        <w:t xml:space="preserve">in </w:t>
      </w:r>
      <w:r w:rsidR="00887637">
        <w:t>tourism</w:t>
      </w:r>
      <w:r w:rsidR="00671371">
        <w:t xml:space="preserve"> analytics and urban data science as resources for travel experience</w:t>
      </w:r>
      <w:r>
        <w:t>.</w:t>
      </w:r>
    </w:p>
    <w:p w14:paraId="6112573B" w14:textId="77777777" w:rsidR="006347CF" w:rsidRPr="005B520E" w:rsidRDefault="006347CF" w:rsidP="00E7596C">
      <w:pPr>
        <w:pStyle w:val="BodyText"/>
      </w:pPr>
    </w:p>
    <w:p w14:paraId="17A9532B" w14:textId="6176B2BA" w:rsidR="009303D9" w:rsidRPr="005B520E" w:rsidRDefault="00403217" w:rsidP="00ED0149">
      <w:pPr>
        <w:pStyle w:val="Heading2"/>
      </w:pPr>
      <w:r>
        <w:t>Sentiment and Emotion Analysis</w:t>
      </w:r>
    </w:p>
    <w:p w14:paraId="4E992BC6" w14:textId="039C1A02" w:rsidR="009303D9" w:rsidRDefault="00403217" w:rsidP="00E7596C">
      <w:pPr>
        <w:pStyle w:val="BodyText"/>
      </w:pPr>
      <w:r>
        <w:t xml:space="preserve">Sentiment analysis is commonly used to quantify the polarity of text along a positive-negative spectrum. In this work, I use the VADER sentiment analyzer, which is used for short, informal text and produces a </w:t>
      </w:r>
      <w:r w:rsidR="00887637">
        <w:t>compound</w:t>
      </w:r>
      <w:r>
        <w:t xml:space="preserve"> sentiment score reflecting overall polarity. To move beyond </w:t>
      </w:r>
      <w:r w:rsidR="00671371">
        <w:t>scalar sentiment</w:t>
      </w:r>
      <w:r>
        <w:t xml:space="preserve">, emotion features are also extracted using the NRC emotion lexicon, which assigns words to emotion </w:t>
      </w:r>
      <w:r w:rsidR="00887637">
        <w:t>categories</w:t>
      </w:r>
      <w:r>
        <w:t xml:space="preserve"> such as joy, trust, anticipation, anger, fear, and sadness. Together, sentiment and emotion features provide complementary views of how holiday experiences are expressed.</w:t>
      </w:r>
    </w:p>
    <w:p w14:paraId="599DFF96" w14:textId="77777777" w:rsidR="00E46529" w:rsidRPr="005B520E" w:rsidRDefault="00E46529" w:rsidP="00E7596C">
      <w:pPr>
        <w:pStyle w:val="BodyText"/>
      </w:pPr>
    </w:p>
    <w:p w14:paraId="65313B9F" w14:textId="13C33367" w:rsidR="009303D9" w:rsidRDefault="00D9172B" w:rsidP="006B6B66">
      <w:pPr>
        <w:pStyle w:val="Heading1"/>
      </w:pPr>
      <w:r>
        <w:t xml:space="preserve">Data and feature </w:t>
      </w:r>
      <w:r w:rsidR="00403217">
        <w:t>Contruction</w:t>
      </w:r>
    </w:p>
    <w:p w14:paraId="2D6C6DFE" w14:textId="13809ED8" w:rsidR="00B83AC6" w:rsidRPr="00B83AC6" w:rsidRDefault="00B83AC6" w:rsidP="00B83AC6">
      <w:pPr>
        <w:pStyle w:val="Heading2"/>
      </w:pPr>
      <w:r>
        <w:t>Data Source</w:t>
      </w:r>
    </w:p>
    <w:p w14:paraId="2CC923CC" w14:textId="2C104985" w:rsidR="00D7522C" w:rsidRDefault="00403217" w:rsidP="00E7596C">
      <w:pPr>
        <w:pStyle w:val="BodyText"/>
      </w:pPr>
      <w:r>
        <w:t xml:space="preserve">The data used in this project comes from the </w:t>
      </w:r>
      <w:proofErr w:type="spellStart"/>
      <w:r>
        <w:t>InsideAirbnb</w:t>
      </w:r>
      <w:proofErr w:type="spellEnd"/>
      <w:r>
        <w:t xml:space="preserve"> repository, which provides publicly available snapshots of Airbnb listings and reviews for cities worldwide. </w:t>
      </w:r>
      <w:r w:rsidR="00671371">
        <w:t>Twenty</w:t>
      </w:r>
      <w:r>
        <w:t xml:space="preserve"> major cities were selected, </w:t>
      </w:r>
      <w:r w:rsidR="00671371">
        <w:t>ten</w:t>
      </w:r>
      <w:r>
        <w:t xml:space="preserve"> </w:t>
      </w:r>
      <w:r w:rsidR="00B83AC6">
        <w:t xml:space="preserve">cities in the United States cities and </w:t>
      </w:r>
      <w:r w:rsidR="00671371">
        <w:t xml:space="preserve">ten </w:t>
      </w:r>
      <w:r w:rsidR="00B83AC6">
        <w:t xml:space="preserve">cities internationally, with sufficient review volume. Two </w:t>
      </w:r>
      <w:r w:rsidR="00B83AC6">
        <w:lastRenderedPageBreak/>
        <w:t xml:space="preserve">primary data sources were used: a listing dataset containing market attributes (e.g., price, availability, room type), and a reviews dataset containing text </w:t>
      </w:r>
      <w:r w:rsidR="00887637">
        <w:t>reviews</w:t>
      </w:r>
      <w:r w:rsidR="00B83AC6">
        <w:t xml:space="preserve"> and timestamps. </w:t>
      </w:r>
      <w:r w:rsidR="002D6868">
        <w:t xml:space="preserve">The combined created </w:t>
      </w:r>
      <w:proofErr w:type="spellStart"/>
      <w:r w:rsidR="002D6868">
        <w:t>dataframe</w:t>
      </w:r>
      <w:proofErr w:type="spellEnd"/>
      <w:r w:rsidR="002D6868">
        <w:t xml:space="preserve"> for reviews contained a total of </w:t>
      </w:r>
      <w:r w:rsidR="002D6868" w:rsidRPr="002D6868">
        <w:t>1</w:t>
      </w:r>
      <w:r w:rsidR="002D6868">
        <w:t>,</w:t>
      </w:r>
      <w:r w:rsidR="002D6868" w:rsidRPr="002D6868">
        <w:t>678</w:t>
      </w:r>
      <w:r w:rsidR="002D6868">
        <w:t>,</w:t>
      </w:r>
      <w:r w:rsidR="002D6868" w:rsidRPr="002D6868">
        <w:t>542</w:t>
      </w:r>
      <w:r w:rsidR="002D6868">
        <w:t xml:space="preserve"> reviews. The combined created </w:t>
      </w:r>
      <w:proofErr w:type="spellStart"/>
      <w:r w:rsidR="002D6868">
        <w:t>dataframe</w:t>
      </w:r>
      <w:proofErr w:type="spellEnd"/>
      <w:r w:rsidR="002D6868">
        <w:t xml:space="preserve"> for listings had a total of</w:t>
      </w:r>
      <w:r w:rsidR="002C7C94">
        <w:t xml:space="preserve"> </w:t>
      </w:r>
      <w:r w:rsidR="002C7C94" w:rsidRPr="002C7C94">
        <w:t>477</w:t>
      </w:r>
      <w:r w:rsidR="002C7C94">
        <w:t>,</w:t>
      </w:r>
      <w:r w:rsidR="002C7C94" w:rsidRPr="002C7C94">
        <w:t>433</w:t>
      </w:r>
      <w:r w:rsidR="002C7C94">
        <w:t xml:space="preserve"> listings.</w:t>
      </w:r>
    </w:p>
    <w:p w14:paraId="0A039753" w14:textId="08748729" w:rsidR="00F9569A" w:rsidRPr="0059738A" w:rsidRDefault="00F9569A" w:rsidP="003074FB">
      <w:pPr>
        <w:pStyle w:val="BodyText"/>
        <w:jc w:val="center"/>
        <w:rPr>
          <w:i/>
          <w:iCs/>
          <w:sz w:val="18"/>
          <w:szCs w:val="18"/>
        </w:rPr>
      </w:pPr>
      <w:r w:rsidRPr="0059738A">
        <w:rPr>
          <w:i/>
          <w:iCs/>
          <w:sz w:val="18"/>
          <w:szCs w:val="18"/>
        </w:rPr>
        <w:t>TABLE 1: Cities Analyzed</w:t>
      </w:r>
    </w:p>
    <w:tbl>
      <w:tblPr>
        <w:tblStyle w:val="TableGrid"/>
        <w:tblW w:w="0pt" w:type="dxa"/>
        <w:tblLook w:firstRow="1" w:lastRow="0" w:firstColumn="1" w:lastColumn="0" w:noHBand="0" w:noVBand="1"/>
      </w:tblPr>
      <w:tblGrid>
        <w:gridCol w:w="920"/>
        <w:gridCol w:w="1027"/>
        <w:gridCol w:w="1182"/>
        <w:gridCol w:w="959"/>
        <w:gridCol w:w="935"/>
      </w:tblGrid>
      <w:tr w:rsidR="003074FB" w14:paraId="183AD1A9" w14:textId="77777777" w:rsidTr="003074FB">
        <w:tc>
          <w:tcPr>
            <w:tcW w:w="58.25pt" w:type="dxa"/>
          </w:tcPr>
          <w:p w14:paraId="20518B81" w14:textId="1A19257C" w:rsidR="003074FB" w:rsidRDefault="003074FB" w:rsidP="003074FB">
            <w:pPr>
              <w:pStyle w:val="BodyText"/>
              <w:ind w:firstLine="0pt"/>
            </w:pPr>
            <w:r>
              <w:t>Austin, TX</w:t>
            </w:r>
          </w:p>
        </w:tc>
        <w:tc>
          <w:tcPr>
            <w:tcW w:w="51.70pt" w:type="dxa"/>
          </w:tcPr>
          <w:p w14:paraId="73618E28" w14:textId="72742F7C" w:rsidR="003074FB" w:rsidRDefault="003074FB" w:rsidP="003074FB">
            <w:pPr>
              <w:pStyle w:val="BodyText"/>
              <w:ind w:firstLine="0pt"/>
            </w:pPr>
            <w:r>
              <w:t>Los Angeles, CA</w:t>
            </w:r>
          </w:p>
        </w:tc>
        <w:tc>
          <w:tcPr>
            <w:tcW w:w="59.50pt" w:type="dxa"/>
          </w:tcPr>
          <w:p w14:paraId="00977A83" w14:textId="3131B3C9" w:rsidR="003074FB" w:rsidRDefault="003074FB" w:rsidP="003074FB">
            <w:pPr>
              <w:pStyle w:val="BodyText"/>
              <w:ind w:firstLine="0pt"/>
            </w:pPr>
            <w:r>
              <w:t>Seattle, WA</w:t>
            </w:r>
          </w:p>
        </w:tc>
        <w:tc>
          <w:tcPr>
            <w:tcW w:w="40.85pt" w:type="dxa"/>
          </w:tcPr>
          <w:p w14:paraId="4E43AF4F" w14:textId="000D7099" w:rsidR="003074FB" w:rsidRDefault="003074FB" w:rsidP="003074FB">
            <w:pPr>
              <w:pStyle w:val="BodyText"/>
              <w:ind w:firstLine="0pt"/>
            </w:pPr>
            <w:r>
              <w:t>Berlin, Germany</w:t>
            </w:r>
          </w:p>
        </w:tc>
        <w:tc>
          <w:tcPr>
            <w:tcW w:w="40.85pt" w:type="dxa"/>
          </w:tcPr>
          <w:p w14:paraId="15A93AA0" w14:textId="0393A5DD" w:rsidR="003074FB" w:rsidRDefault="003074FB" w:rsidP="003074FB">
            <w:pPr>
              <w:pStyle w:val="BodyText"/>
              <w:ind w:firstLine="0pt"/>
            </w:pPr>
            <w:r>
              <w:t>Paris, France</w:t>
            </w:r>
          </w:p>
        </w:tc>
      </w:tr>
      <w:tr w:rsidR="003074FB" w14:paraId="68826FAA" w14:textId="77777777" w:rsidTr="003074FB">
        <w:tc>
          <w:tcPr>
            <w:tcW w:w="58.25pt" w:type="dxa"/>
          </w:tcPr>
          <w:p w14:paraId="238A0974" w14:textId="5DF7C25C" w:rsidR="003074FB" w:rsidRDefault="003074FB" w:rsidP="003074FB">
            <w:pPr>
              <w:pStyle w:val="BodyText"/>
              <w:ind w:firstLine="0pt"/>
            </w:pPr>
            <w:r>
              <w:t>Boston, MA</w:t>
            </w:r>
          </w:p>
        </w:tc>
        <w:tc>
          <w:tcPr>
            <w:tcW w:w="51.70pt" w:type="dxa"/>
          </w:tcPr>
          <w:p w14:paraId="01995E71" w14:textId="7D080AB7" w:rsidR="003074FB" w:rsidRDefault="003074FB" w:rsidP="003074FB">
            <w:pPr>
              <w:pStyle w:val="BodyText"/>
              <w:ind w:firstLine="0pt"/>
            </w:pPr>
            <w:r>
              <w:t>New Orleans, LA</w:t>
            </w:r>
          </w:p>
        </w:tc>
        <w:tc>
          <w:tcPr>
            <w:tcW w:w="59.50pt" w:type="dxa"/>
          </w:tcPr>
          <w:p w14:paraId="73C8CA79" w14:textId="21631FE4" w:rsidR="003074FB" w:rsidRDefault="003074FB" w:rsidP="003074FB">
            <w:pPr>
              <w:pStyle w:val="BodyText"/>
              <w:ind w:firstLine="0pt"/>
            </w:pPr>
            <w:r>
              <w:t>Washington D.C.</w:t>
            </w:r>
          </w:p>
        </w:tc>
        <w:tc>
          <w:tcPr>
            <w:tcW w:w="40.85pt" w:type="dxa"/>
          </w:tcPr>
          <w:p w14:paraId="790C715A" w14:textId="482BF0D1" w:rsidR="003074FB" w:rsidRDefault="003074FB" w:rsidP="003074FB">
            <w:pPr>
              <w:pStyle w:val="BodyText"/>
              <w:ind w:firstLine="0pt"/>
            </w:pPr>
            <w:r>
              <w:t>London, United Kingdom</w:t>
            </w:r>
          </w:p>
        </w:tc>
        <w:tc>
          <w:tcPr>
            <w:tcW w:w="40.85pt" w:type="dxa"/>
          </w:tcPr>
          <w:p w14:paraId="6D657690" w14:textId="5C3D644B" w:rsidR="003074FB" w:rsidRDefault="003074FB" w:rsidP="003074FB">
            <w:pPr>
              <w:pStyle w:val="BodyText"/>
              <w:ind w:firstLine="0pt"/>
            </w:pPr>
            <w:r>
              <w:t>Rome, Italy</w:t>
            </w:r>
          </w:p>
        </w:tc>
      </w:tr>
      <w:tr w:rsidR="003074FB" w14:paraId="0F81342D" w14:textId="77777777" w:rsidTr="003074FB">
        <w:tc>
          <w:tcPr>
            <w:tcW w:w="58.25pt" w:type="dxa"/>
          </w:tcPr>
          <w:p w14:paraId="6F02C89D" w14:textId="59C7EB5F" w:rsidR="003074FB" w:rsidRDefault="003074FB" w:rsidP="003074FB">
            <w:pPr>
              <w:pStyle w:val="BodyText"/>
              <w:ind w:firstLine="0pt"/>
            </w:pPr>
            <w:r>
              <w:t>Chicago, IL</w:t>
            </w:r>
          </w:p>
        </w:tc>
        <w:tc>
          <w:tcPr>
            <w:tcW w:w="51.70pt" w:type="dxa"/>
          </w:tcPr>
          <w:p w14:paraId="58D7128A" w14:textId="2A99EEAA" w:rsidR="003074FB" w:rsidRDefault="003074FB" w:rsidP="003074FB">
            <w:pPr>
              <w:pStyle w:val="BodyText"/>
              <w:ind w:firstLine="0pt"/>
            </w:pPr>
            <w:r>
              <w:t>New York City, NY</w:t>
            </w:r>
          </w:p>
        </w:tc>
        <w:tc>
          <w:tcPr>
            <w:tcW w:w="59.50pt" w:type="dxa"/>
          </w:tcPr>
          <w:p w14:paraId="4DEF1A5D" w14:textId="0AA65C1B" w:rsidR="003074FB" w:rsidRDefault="003074FB" w:rsidP="003074FB">
            <w:pPr>
              <w:pStyle w:val="BodyText"/>
              <w:ind w:firstLine="0pt"/>
            </w:pPr>
            <w:r>
              <w:t>Amsterdam, Netherlands</w:t>
            </w:r>
          </w:p>
        </w:tc>
        <w:tc>
          <w:tcPr>
            <w:tcW w:w="40.85pt" w:type="dxa"/>
          </w:tcPr>
          <w:p w14:paraId="68D340A4" w14:textId="070C60AC" w:rsidR="003074FB" w:rsidRDefault="003074FB" w:rsidP="003074FB">
            <w:pPr>
              <w:pStyle w:val="BodyText"/>
              <w:ind w:firstLine="0pt"/>
            </w:pPr>
            <w:r>
              <w:t>Madrid, Spain</w:t>
            </w:r>
          </w:p>
        </w:tc>
        <w:tc>
          <w:tcPr>
            <w:tcW w:w="40.85pt" w:type="dxa"/>
          </w:tcPr>
          <w:p w14:paraId="0B63D223" w14:textId="09509C3D" w:rsidR="003074FB" w:rsidRDefault="003074FB" w:rsidP="003074FB">
            <w:pPr>
              <w:pStyle w:val="BodyText"/>
              <w:ind w:firstLine="0pt"/>
            </w:pPr>
            <w:r>
              <w:t>Sydney, Australia</w:t>
            </w:r>
          </w:p>
        </w:tc>
      </w:tr>
      <w:tr w:rsidR="003074FB" w14:paraId="10226882" w14:textId="77777777" w:rsidTr="003074FB">
        <w:tc>
          <w:tcPr>
            <w:tcW w:w="58.25pt" w:type="dxa"/>
          </w:tcPr>
          <w:p w14:paraId="6ABB634F" w14:textId="5401C760" w:rsidR="003074FB" w:rsidRDefault="003074FB" w:rsidP="003074FB">
            <w:pPr>
              <w:pStyle w:val="BodyText"/>
              <w:ind w:firstLine="0pt"/>
            </w:pPr>
            <w:r>
              <w:t>Dallas, TX</w:t>
            </w:r>
          </w:p>
        </w:tc>
        <w:tc>
          <w:tcPr>
            <w:tcW w:w="51.70pt" w:type="dxa"/>
          </w:tcPr>
          <w:p w14:paraId="31DDBA0C" w14:textId="2294C007" w:rsidR="003074FB" w:rsidRDefault="003074FB" w:rsidP="003074FB">
            <w:pPr>
              <w:pStyle w:val="BodyText"/>
              <w:ind w:firstLine="0pt"/>
            </w:pPr>
            <w:r>
              <w:t>San Francisco, CA</w:t>
            </w:r>
          </w:p>
        </w:tc>
        <w:tc>
          <w:tcPr>
            <w:tcW w:w="59.50pt" w:type="dxa"/>
          </w:tcPr>
          <w:p w14:paraId="22372ADD" w14:textId="1B3CAD77" w:rsidR="003074FB" w:rsidRDefault="003074FB" w:rsidP="003074FB">
            <w:pPr>
              <w:pStyle w:val="BodyText"/>
              <w:ind w:firstLine="0pt"/>
            </w:pPr>
            <w:r>
              <w:t>Barcelona, Spain</w:t>
            </w:r>
          </w:p>
        </w:tc>
        <w:tc>
          <w:tcPr>
            <w:tcW w:w="40.85pt" w:type="dxa"/>
          </w:tcPr>
          <w:p w14:paraId="39742538" w14:textId="21389EC9" w:rsidR="003074FB" w:rsidRDefault="003074FB" w:rsidP="003074FB">
            <w:pPr>
              <w:pStyle w:val="BodyText"/>
              <w:ind w:firstLine="0pt"/>
            </w:pPr>
            <w:r>
              <w:t>Munich, Germany</w:t>
            </w:r>
          </w:p>
        </w:tc>
        <w:tc>
          <w:tcPr>
            <w:tcW w:w="40.85pt" w:type="dxa"/>
          </w:tcPr>
          <w:p w14:paraId="37C4B361" w14:textId="420C8FDC" w:rsidR="003074FB" w:rsidRDefault="003074FB" w:rsidP="003074FB">
            <w:pPr>
              <w:pStyle w:val="BodyText"/>
              <w:ind w:firstLine="0pt"/>
            </w:pPr>
            <w:r>
              <w:t>Toronto, Canada</w:t>
            </w:r>
          </w:p>
        </w:tc>
      </w:tr>
    </w:tbl>
    <w:p w14:paraId="243D41E1" w14:textId="77777777" w:rsidR="00F9569A" w:rsidRDefault="00F9569A" w:rsidP="00E7596C">
      <w:pPr>
        <w:pStyle w:val="BodyText"/>
      </w:pPr>
    </w:p>
    <w:p w14:paraId="52BDE4D1" w14:textId="2C685B97" w:rsidR="00B83AC6" w:rsidRDefault="00B83AC6" w:rsidP="00B83AC6">
      <w:pPr>
        <w:pStyle w:val="Heading2"/>
      </w:pPr>
      <w:r>
        <w:t>Holiday Definition</w:t>
      </w:r>
    </w:p>
    <w:p w14:paraId="064597DD" w14:textId="2AE9A68F" w:rsidR="00B83AC6" w:rsidRDefault="00B83AC6" w:rsidP="00671371">
      <w:pPr>
        <w:ind w:firstLine="14.40pt"/>
        <w:jc w:val="both"/>
      </w:pPr>
      <w:r>
        <w:t xml:space="preserve">Five holidays were analyzed, Christmas, New Year’s, Valentine’s Day, Halloween, and Easter. Fixed-date holidays were defined using narrow calendar windows </w:t>
      </w:r>
      <w:r w:rsidR="00887637">
        <w:t>designed</w:t>
      </w:r>
      <w:r>
        <w:t xml:space="preserve"> to capture core holiday activity (Christmas: Dec 20 – Dec 27; New Year’s: Dec 28 – Jan 3; Valentine’s Day: Feb 10 – Feb 17; Halloween: Oct 25 - Nov 2). Easter, as a movable holiday, was aggregated across a fixed ten-year window (2015-2025). Fixed-date </w:t>
      </w:r>
      <w:r w:rsidR="00665D2B">
        <w:t xml:space="preserve">holidays were aggregated across all available years. Because clustering is performed independent for each holiday, differing temporal aggregation strategies do not affect clustering </w:t>
      </w:r>
      <w:r w:rsidR="00887637">
        <w:t>validity</w:t>
      </w:r>
      <w:r w:rsidR="00665D2B">
        <w:t>.</w:t>
      </w:r>
    </w:p>
    <w:p w14:paraId="50303D36" w14:textId="77777777" w:rsidR="00665D2B" w:rsidRPr="00B83AC6" w:rsidRDefault="00665D2B" w:rsidP="00665D2B">
      <w:pPr>
        <w:jc w:val="both"/>
      </w:pPr>
    </w:p>
    <w:p w14:paraId="2D27694B" w14:textId="62B2ACD5" w:rsidR="009303D9" w:rsidRDefault="00665D2B" w:rsidP="00ED0149">
      <w:pPr>
        <w:pStyle w:val="Heading2"/>
      </w:pPr>
      <w:r>
        <w:t>Feature Engineering</w:t>
      </w:r>
    </w:p>
    <w:p w14:paraId="5BFF2E12" w14:textId="2B2858FE" w:rsidR="009303D9" w:rsidRDefault="00665D2B" w:rsidP="00665D2B">
      <w:pPr>
        <w:pStyle w:val="BodyText"/>
      </w:pPr>
      <w:r>
        <w:t>Features were constructed at the city-holiday level and grouped into three categories:</w:t>
      </w:r>
    </w:p>
    <w:p w14:paraId="11873996" w14:textId="60A784A1" w:rsidR="00665D2B" w:rsidRDefault="00665D2B" w:rsidP="00665D2B">
      <w:pPr>
        <w:pStyle w:val="BodyText"/>
        <w:numPr>
          <w:ilvl w:val="0"/>
          <w:numId w:val="28"/>
        </w:numPr>
      </w:pPr>
      <w:r>
        <w:t>Sentiment Features: Mean and standard deviation of the VADER co</w:t>
      </w:r>
      <w:r w:rsidR="00887637">
        <w:t>m</w:t>
      </w:r>
      <w:r>
        <w:t>pound sentiment score, proportions of positive, neutral, and negative reviews, and average review length.</w:t>
      </w:r>
    </w:p>
    <w:p w14:paraId="36A901E8" w14:textId="3393E5EB" w:rsidR="00665D2B" w:rsidRDefault="00665D2B" w:rsidP="00665D2B">
      <w:pPr>
        <w:pStyle w:val="BodyText"/>
        <w:numPr>
          <w:ilvl w:val="0"/>
          <w:numId w:val="28"/>
        </w:numPr>
      </w:pPr>
      <w:r>
        <w:t>Emotional Features: Mean values of NRC emotion categories, including joy, trust, anticipation, sadness, anger, and fear.</w:t>
      </w:r>
    </w:p>
    <w:p w14:paraId="049FF1F7" w14:textId="067AAA9D" w:rsidR="00665D2B" w:rsidRDefault="00665D2B" w:rsidP="00665D2B">
      <w:pPr>
        <w:pStyle w:val="BodyText"/>
        <w:numPr>
          <w:ilvl w:val="0"/>
          <w:numId w:val="28"/>
        </w:numPr>
      </w:pPr>
      <w:r>
        <w:t>Market Features: Average nightly price, price variability, average minimum stay, average availability, total number of listings, and proportion of entire home listings.</w:t>
      </w:r>
    </w:p>
    <w:p w14:paraId="5260EEA7" w14:textId="01B89185" w:rsidR="00665D2B" w:rsidRDefault="00665D2B" w:rsidP="00665D2B">
      <w:pPr>
        <w:pStyle w:val="BodyText"/>
        <w:ind w:start="14.40pt" w:firstLine="0pt"/>
      </w:pPr>
      <w:r>
        <w:t xml:space="preserve">All features were </w:t>
      </w:r>
      <w:r w:rsidR="00887637">
        <w:t>standardized</w:t>
      </w:r>
      <w:r>
        <w:t xml:space="preserve"> prior to clustering</w:t>
      </w:r>
      <w:r w:rsidR="003074FB">
        <w:t xml:space="preserve">. </w:t>
      </w:r>
    </w:p>
    <w:p w14:paraId="71147E9B" w14:textId="77777777" w:rsidR="00671371" w:rsidRDefault="00671371" w:rsidP="00665D2B">
      <w:pPr>
        <w:pStyle w:val="BodyText"/>
        <w:ind w:start="14.40pt" w:firstLine="0pt"/>
      </w:pPr>
    </w:p>
    <w:p w14:paraId="402B5F91" w14:textId="77777777" w:rsidR="00671371" w:rsidRDefault="00671371" w:rsidP="00665D2B">
      <w:pPr>
        <w:pStyle w:val="BodyText"/>
        <w:ind w:start="14.40pt" w:firstLine="0pt"/>
      </w:pPr>
    </w:p>
    <w:p w14:paraId="6051DAB4" w14:textId="77777777" w:rsidR="00671371" w:rsidRDefault="00671371" w:rsidP="00665D2B">
      <w:pPr>
        <w:pStyle w:val="BodyText"/>
        <w:ind w:start="14.40pt" w:firstLine="0pt"/>
      </w:pPr>
    </w:p>
    <w:p w14:paraId="164C17A7" w14:textId="77777777" w:rsidR="00671371" w:rsidRDefault="00671371" w:rsidP="00665D2B">
      <w:pPr>
        <w:pStyle w:val="BodyText"/>
        <w:ind w:start="14.40pt" w:firstLine="0pt"/>
      </w:pPr>
    </w:p>
    <w:p w14:paraId="1716E391" w14:textId="77777777" w:rsidR="00DD293E" w:rsidRPr="0059738A" w:rsidRDefault="00DD293E" w:rsidP="00665D2B">
      <w:pPr>
        <w:pStyle w:val="BodyText"/>
        <w:ind w:start="14.40pt" w:firstLine="0pt"/>
        <w:rPr>
          <w:i/>
          <w:iCs/>
          <w:sz w:val="18"/>
          <w:szCs w:val="18"/>
        </w:rPr>
      </w:pPr>
      <w:r w:rsidRPr="00671371">
        <w:rPr>
          <w:i/>
          <w:iCs/>
          <w:sz w:val="18"/>
          <w:szCs w:val="18"/>
        </w:rPr>
        <w:t xml:space="preserve">TABLE 2: </w:t>
      </w:r>
      <w:r w:rsidRPr="0059738A">
        <w:rPr>
          <w:i/>
          <w:iCs/>
          <w:sz w:val="18"/>
          <w:szCs w:val="18"/>
        </w:rPr>
        <w:t>Feature Summary Table</w:t>
      </w:r>
    </w:p>
    <w:tbl>
      <w:tblPr>
        <w:tblStyle w:val="TableGrid"/>
        <w:tblW w:w="0pt" w:type="dxa"/>
        <w:tblInd w:w="14.40pt" w:type="dxa"/>
        <w:tblLook w:firstRow="1" w:lastRow="0" w:firstColumn="1" w:lastColumn="0" w:noHBand="0" w:noVBand="1"/>
      </w:tblPr>
      <w:tblGrid>
        <w:gridCol w:w="1132"/>
        <w:gridCol w:w="1159"/>
        <w:gridCol w:w="1154"/>
        <w:gridCol w:w="1290"/>
      </w:tblGrid>
      <w:tr w:rsidR="00DD293E" w14:paraId="2FBEEF46" w14:textId="77777777" w:rsidTr="00DD293E">
        <w:tc>
          <w:tcPr>
            <w:tcW w:w="62.75pt" w:type="dxa"/>
          </w:tcPr>
          <w:p w14:paraId="29C9E4B5" w14:textId="1E823271" w:rsidR="00DD293E" w:rsidRDefault="00DD293E" w:rsidP="00665D2B">
            <w:pPr>
              <w:pStyle w:val="BodyText"/>
              <w:ind w:firstLine="0pt"/>
            </w:pPr>
            <w:r>
              <w:t>City</w:t>
            </w:r>
          </w:p>
        </w:tc>
        <w:tc>
          <w:tcPr>
            <w:tcW w:w="62.80pt" w:type="dxa"/>
          </w:tcPr>
          <w:p w14:paraId="4157AFEC" w14:textId="05184E29" w:rsidR="00DD293E" w:rsidRDefault="00DD293E" w:rsidP="00665D2B">
            <w:pPr>
              <w:pStyle w:val="BodyText"/>
              <w:ind w:firstLine="0pt"/>
            </w:pPr>
            <w:r>
              <w:t>Holiday</w:t>
            </w:r>
          </w:p>
        </w:tc>
        <w:tc>
          <w:tcPr>
            <w:tcW w:w="62.80pt" w:type="dxa"/>
          </w:tcPr>
          <w:p w14:paraId="5C04C51A" w14:textId="612DD451" w:rsidR="00DD293E" w:rsidRDefault="00DD293E" w:rsidP="00665D2B">
            <w:pPr>
              <w:pStyle w:val="BodyText"/>
              <w:ind w:firstLine="0pt"/>
            </w:pPr>
            <w:r>
              <w:t>Mean_Compound</w:t>
            </w:r>
          </w:p>
        </w:tc>
        <w:tc>
          <w:tcPr>
            <w:tcW w:w="62.80pt" w:type="dxa"/>
          </w:tcPr>
          <w:p w14:paraId="3E0A6484" w14:textId="3A778C93" w:rsidR="00DD293E" w:rsidRDefault="00DD293E" w:rsidP="00665D2B">
            <w:pPr>
              <w:pStyle w:val="BodyText"/>
              <w:ind w:firstLine="0pt"/>
            </w:pPr>
            <w:proofErr w:type="spellStart"/>
            <w:r>
              <w:t>Std_Compound</w:t>
            </w:r>
            <w:proofErr w:type="spellEnd"/>
          </w:p>
        </w:tc>
      </w:tr>
      <w:tr w:rsidR="00DD293E" w14:paraId="4DDFD914" w14:textId="77777777" w:rsidTr="00DD293E">
        <w:tc>
          <w:tcPr>
            <w:tcW w:w="62.75pt" w:type="dxa"/>
          </w:tcPr>
          <w:p w14:paraId="4AEE29AB" w14:textId="420C481A" w:rsidR="00DD293E" w:rsidRDefault="00DD293E" w:rsidP="00665D2B">
            <w:pPr>
              <w:pStyle w:val="BodyText"/>
              <w:ind w:firstLine="0pt"/>
            </w:pPr>
            <w:proofErr w:type="spellStart"/>
            <w:r>
              <w:t>Pct_positive</w:t>
            </w:r>
            <w:proofErr w:type="spellEnd"/>
          </w:p>
        </w:tc>
        <w:tc>
          <w:tcPr>
            <w:tcW w:w="62.80pt" w:type="dxa"/>
          </w:tcPr>
          <w:p w14:paraId="2DC16BC6" w14:textId="186BC697" w:rsidR="00DD293E" w:rsidRDefault="00DD293E" w:rsidP="00665D2B">
            <w:pPr>
              <w:pStyle w:val="BodyText"/>
              <w:ind w:firstLine="0pt"/>
            </w:pPr>
            <w:proofErr w:type="spellStart"/>
            <w:r>
              <w:t>Pct_negative</w:t>
            </w:r>
            <w:proofErr w:type="spellEnd"/>
          </w:p>
        </w:tc>
        <w:tc>
          <w:tcPr>
            <w:tcW w:w="62.80pt" w:type="dxa"/>
          </w:tcPr>
          <w:p w14:paraId="70505EEC" w14:textId="6EC8211A" w:rsidR="00DD293E" w:rsidRDefault="00DD293E" w:rsidP="00665D2B">
            <w:pPr>
              <w:pStyle w:val="BodyText"/>
              <w:ind w:firstLine="0pt"/>
            </w:pPr>
            <w:proofErr w:type="spellStart"/>
            <w:r>
              <w:t>Pct_neutral</w:t>
            </w:r>
            <w:proofErr w:type="spellEnd"/>
          </w:p>
        </w:tc>
        <w:tc>
          <w:tcPr>
            <w:tcW w:w="62.80pt" w:type="dxa"/>
          </w:tcPr>
          <w:p w14:paraId="56567553" w14:textId="3B9A0D5C" w:rsidR="00DD293E" w:rsidRDefault="00DD293E" w:rsidP="00665D2B">
            <w:pPr>
              <w:pStyle w:val="BodyText"/>
              <w:ind w:firstLine="0pt"/>
            </w:pPr>
            <w:proofErr w:type="spellStart"/>
            <w:r>
              <w:t>Avg_Review_length</w:t>
            </w:r>
            <w:proofErr w:type="spellEnd"/>
          </w:p>
        </w:tc>
      </w:tr>
      <w:tr w:rsidR="00DD293E" w14:paraId="705A8C90" w14:textId="77777777" w:rsidTr="00DD293E">
        <w:tc>
          <w:tcPr>
            <w:tcW w:w="62.75pt" w:type="dxa"/>
          </w:tcPr>
          <w:p w14:paraId="1F97ABA2" w14:textId="39784851" w:rsidR="00DD293E" w:rsidRDefault="00DD293E" w:rsidP="00665D2B">
            <w:pPr>
              <w:pStyle w:val="BodyText"/>
              <w:ind w:firstLine="0pt"/>
            </w:pPr>
            <w:r>
              <w:t>Joy</w:t>
            </w:r>
          </w:p>
        </w:tc>
        <w:tc>
          <w:tcPr>
            <w:tcW w:w="62.80pt" w:type="dxa"/>
          </w:tcPr>
          <w:p w14:paraId="18A037C0" w14:textId="778B09C0" w:rsidR="00DD293E" w:rsidRDefault="00DD293E" w:rsidP="00665D2B">
            <w:pPr>
              <w:pStyle w:val="BodyText"/>
              <w:ind w:firstLine="0pt"/>
            </w:pPr>
            <w:r>
              <w:t>Sadness</w:t>
            </w:r>
          </w:p>
        </w:tc>
        <w:tc>
          <w:tcPr>
            <w:tcW w:w="62.80pt" w:type="dxa"/>
          </w:tcPr>
          <w:p w14:paraId="558788AE" w14:textId="0CD7B344" w:rsidR="00DD293E" w:rsidRDefault="00DD293E" w:rsidP="00665D2B">
            <w:pPr>
              <w:pStyle w:val="BodyText"/>
              <w:ind w:firstLine="0pt"/>
            </w:pPr>
            <w:r>
              <w:t>Fear</w:t>
            </w:r>
          </w:p>
        </w:tc>
        <w:tc>
          <w:tcPr>
            <w:tcW w:w="62.80pt" w:type="dxa"/>
          </w:tcPr>
          <w:p w14:paraId="4B936370" w14:textId="37D20DA8" w:rsidR="00DD293E" w:rsidRDefault="00DD293E" w:rsidP="00665D2B">
            <w:pPr>
              <w:pStyle w:val="BodyText"/>
              <w:ind w:firstLine="0pt"/>
            </w:pPr>
            <w:r>
              <w:t>Trust</w:t>
            </w:r>
          </w:p>
        </w:tc>
      </w:tr>
      <w:tr w:rsidR="00DD293E" w14:paraId="20EE5473" w14:textId="77777777" w:rsidTr="00DD293E">
        <w:tc>
          <w:tcPr>
            <w:tcW w:w="62.75pt" w:type="dxa"/>
          </w:tcPr>
          <w:p w14:paraId="5CCF5816" w14:textId="7D8ADD2C" w:rsidR="00DD293E" w:rsidRDefault="00DD293E" w:rsidP="00665D2B">
            <w:pPr>
              <w:pStyle w:val="BodyText"/>
              <w:ind w:firstLine="0pt"/>
            </w:pPr>
            <w:r>
              <w:t>Anticipation</w:t>
            </w:r>
          </w:p>
        </w:tc>
        <w:tc>
          <w:tcPr>
            <w:tcW w:w="62.80pt" w:type="dxa"/>
          </w:tcPr>
          <w:p w14:paraId="197333DD" w14:textId="19762350" w:rsidR="00DD293E" w:rsidRDefault="00DD293E" w:rsidP="00665D2B">
            <w:pPr>
              <w:pStyle w:val="BodyText"/>
              <w:ind w:firstLine="0pt"/>
            </w:pPr>
            <w:proofErr w:type="spellStart"/>
            <w:r>
              <w:t>Review_Count</w:t>
            </w:r>
            <w:proofErr w:type="spellEnd"/>
          </w:p>
        </w:tc>
        <w:tc>
          <w:tcPr>
            <w:tcW w:w="62.80pt" w:type="dxa"/>
          </w:tcPr>
          <w:p w14:paraId="73996007" w14:textId="783674E0" w:rsidR="00DD293E" w:rsidRDefault="00DD293E" w:rsidP="00665D2B">
            <w:pPr>
              <w:pStyle w:val="BodyText"/>
              <w:ind w:firstLine="0pt"/>
            </w:pPr>
            <w:proofErr w:type="spellStart"/>
            <w:r>
              <w:t>Avg_Price</w:t>
            </w:r>
            <w:proofErr w:type="spellEnd"/>
          </w:p>
        </w:tc>
        <w:tc>
          <w:tcPr>
            <w:tcW w:w="62.80pt" w:type="dxa"/>
          </w:tcPr>
          <w:p w14:paraId="5E05D5F7" w14:textId="3341F7A1" w:rsidR="00DD293E" w:rsidRDefault="00DD293E" w:rsidP="00665D2B">
            <w:pPr>
              <w:pStyle w:val="BodyText"/>
              <w:ind w:firstLine="0pt"/>
            </w:pPr>
            <w:proofErr w:type="spellStart"/>
            <w:r>
              <w:t>Price_Std</w:t>
            </w:r>
            <w:proofErr w:type="spellEnd"/>
          </w:p>
        </w:tc>
      </w:tr>
      <w:tr w:rsidR="00DD293E" w14:paraId="6C05D4BD" w14:textId="77777777" w:rsidTr="00DD293E">
        <w:tc>
          <w:tcPr>
            <w:tcW w:w="62.75pt" w:type="dxa"/>
          </w:tcPr>
          <w:p w14:paraId="722A92F2" w14:textId="7A40F3B6" w:rsidR="00DD293E" w:rsidRDefault="00DD293E" w:rsidP="00665D2B">
            <w:pPr>
              <w:pStyle w:val="BodyText"/>
              <w:ind w:firstLine="0pt"/>
            </w:pPr>
            <w:proofErr w:type="spellStart"/>
            <w:r>
              <w:t>Avg_Min_Nights</w:t>
            </w:r>
            <w:proofErr w:type="spellEnd"/>
          </w:p>
        </w:tc>
        <w:tc>
          <w:tcPr>
            <w:tcW w:w="62.80pt" w:type="dxa"/>
          </w:tcPr>
          <w:p w14:paraId="66543F94" w14:textId="7EB650FC" w:rsidR="00DD293E" w:rsidRDefault="00DD293E" w:rsidP="00665D2B">
            <w:pPr>
              <w:pStyle w:val="BodyText"/>
              <w:ind w:firstLine="0pt"/>
            </w:pPr>
            <w:proofErr w:type="spellStart"/>
            <w:r>
              <w:t>Avg_Availaibility</w:t>
            </w:r>
            <w:proofErr w:type="spellEnd"/>
          </w:p>
        </w:tc>
        <w:tc>
          <w:tcPr>
            <w:tcW w:w="62.80pt" w:type="dxa"/>
          </w:tcPr>
          <w:p w14:paraId="4917FFBC" w14:textId="041F3DCE" w:rsidR="00DD293E" w:rsidRDefault="00DD293E" w:rsidP="00665D2B">
            <w:pPr>
              <w:pStyle w:val="BodyText"/>
              <w:ind w:firstLine="0pt"/>
            </w:pPr>
            <w:proofErr w:type="spellStart"/>
            <w:r>
              <w:t>Listing_Count</w:t>
            </w:r>
            <w:proofErr w:type="spellEnd"/>
          </w:p>
        </w:tc>
        <w:tc>
          <w:tcPr>
            <w:tcW w:w="62.80pt" w:type="dxa"/>
          </w:tcPr>
          <w:p w14:paraId="38BAA983" w14:textId="234ABE6C" w:rsidR="00DD293E" w:rsidRDefault="00DD293E" w:rsidP="00665D2B">
            <w:pPr>
              <w:pStyle w:val="BodyText"/>
              <w:ind w:firstLine="0pt"/>
            </w:pPr>
            <w:proofErr w:type="spellStart"/>
            <w:r>
              <w:t>Pct_Entire_Home</w:t>
            </w:r>
            <w:proofErr w:type="spellEnd"/>
          </w:p>
        </w:tc>
      </w:tr>
    </w:tbl>
    <w:p w14:paraId="26B83BB1" w14:textId="283868BD" w:rsidR="003074FB" w:rsidRDefault="003074FB" w:rsidP="00665D2B">
      <w:pPr>
        <w:pStyle w:val="BodyText"/>
        <w:ind w:start="14.40pt" w:firstLine="0pt"/>
      </w:pPr>
    </w:p>
    <w:p w14:paraId="2433B924" w14:textId="074D276A" w:rsidR="003074FB" w:rsidRDefault="003074FB" w:rsidP="003074FB">
      <w:pPr>
        <w:pStyle w:val="Heading1"/>
      </w:pPr>
      <w:r>
        <w:t>Experimental Methodology</w:t>
      </w:r>
    </w:p>
    <w:p w14:paraId="679761D9" w14:textId="5512F3B9" w:rsidR="009303D9" w:rsidRDefault="00542D2B" w:rsidP="00ED0149">
      <w:pPr>
        <w:pStyle w:val="Heading2"/>
      </w:pPr>
      <w:r>
        <w:t>Clustering Setup</w:t>
      </w:r>
    </w:p>
    <w:p w14:paraId="1FD415B8" w14:textId="79B95DE5" w:rsidR="00542D2B" w:rsidRDefault="00542D2B" w:rsidP="00E7596C">
      <w:pPr>
        <w:pStyle w:val="BodyText"/>
      </w:pPr>
      <w:r>
        <w:t xml:space="preserve">Clustering was performed </w:t>
      </w:r>
      <w:r w:rsidR="00887637">
        <w:t>separately</w:t>
      </w:r>
      <w:r>
        <w:t xml:space="preserve"> for each holiday using the k-means algorithm. All features were </w:t>
      </w:r>
      <w:r w:rsidR="00887637">
        <w:t>standardized</w:t>
      </w:r>
      <w:r>
        <w:t xml:space="preserve"> to zero mean and unit variance. Clustering cities independently for each holiday avoids mixing up differences between holidays with differences between cities.</w:t>
      </w:r>
    </w:p>
    <w:p w14:paraId="6CF8B420" w14:textId="77777777" w:rsidR="00542D2B" w:rsidRDefault="00542D2B" w:rsidP="00E7596C">
      <w:pPr>
        <w:pStyle w:val="BodyText"/>
      </w:pPr>
    </w:p>
    <w:p w14:paraId="0BA6F882" w14:textId="5DE6B31C" w:rsidR="00542D2B" w:rsidRDefault="00542D2B" w:rsidP="00542D2B">
      <w:pPr>
        <w:pStyle w:val="Heading2"/>
      </w:pPr>
      <w:r>
        <w:t>Baseline vs. Rich Feature Sets</w:t>
      </w:r>
    </w:p>
    <w:p w14:paraId="1D926CCE" w14:textId="0154C5BA" w:rsidR="00542D2B" w:rsidRDefault="00542D2B" w:rsidP="00542D2B">
      <w:pPr>
        <w:ind w:firstLine="14.40pt"/>
        <w:jc w:val="both"/>
      </w:pPr>
      <w:r>
        <w:t xml:space="preserve">To </w:t>
      </w:r>
      <w:r w:rsidR="00887637">
        <w:t>assess</w:t>
      </w:r>
      <w:r>
        <w:t xml:space="preserve"> whether clustering results were non-trivial, two</w:t>
      </w:r>
    </w:p>
    <w:p w14:paraId="138F11E6" w14:textId="5546277C" w:rsidR="00542D2B" w:rsidRDefault="00542D2B" w:rsidP="00542D2B">
      <w:pPr>
        <w:jc w:val="both"/>
      </w:pPr>
      <w:r>
        <w:t xml:space="preserve">feature sets were evaluated. A baseline feature set included only mean sentiment polarity, A rich feature set included sentiment, emotion and market features. This comparison allows us to evaluate whether additional emotional and market dimensions provide meaningful </w:t>
      </w:r>
      <w:r w:rsidR="00887637">
        <w:t>structure</w:t>
      </w:r>
      <w:r>
        <w:t xml:space="preserve"> beyond sentiment alone.</w:t>
      </w:r>
    </w:p>
    <w:p w14:paraId="04214E15" w14:textId="77777777" w:rsidR="00542D2B" w:rsidRDefault="00542D2B" w:rsidP="00542D2B">
      <w:pPr>
        <w:jc w:val="both"/>
      </w:pPr>
    </w:p>
    <w:p w14:paraId="523A9FAB" w14:textId="536E9BDC" w:rsidR="00542D2B" w:rsidRDefault="00542D2B" w:rsidP="00542D2B">
      <w:pPr>
        <w:pStyle w:val="Heading2"/>
      </w:pPr>
      <w:r>
        <w:t>Parameter Selection and Validation</w:t>
      </w:r>
    </w:p>
    <w:p w14:paraId="2364666A" w14:textId="7338F681" w:rsidR="00542D2B" w:rsidRDefault="002330B0" w:rsidP="00542D2B">
      <w:pPr>
        <w:jc w:val="both"/>
      </w:pPr>
      <w:r>
        <w:t xml:space="preserve">     </w:t>
      </w:r>
      <w:r w:rsidR="00542D2B">
        <w:t xml:space="preserve">The number of clusters k was varied from 2 to 6. Internal validation metrics, including silhouette score and Davies-Bouldin </w:t>
      </w:r>
      <w:r w:rsidR="00887637">
        <w:t>indexes</w:t>
      </w:r>
      <w:r w:rsidR="00542D2B">
        <w:t>, were used to evaluate clustering quality. For each holiday, the value of</w:t>
      </w:r>
      <w:r w:rsidR="00887637">
        <w:t xml:space="preserve"> </w:t>
      </w:r>
      <w:r w:rsidR="00542D2B">
        <w:t>k that maximized silhouette score while maintaining interpretability was selected.</w:t>
      </w:r>
    </w:p>
    <w:p w14:paraId="10DE18B8" w14:textId="77777777" w:rsidR="00542D2B" w:rsidRDefault="00542D2B" w:rsidP="00542D2B">
      <w:pPr>
        <w:jc w:val="both"/>
      </w:pPr>
    </w:p>
    <w:p w14:paraId="199299D4" w14:textId="375505D0" w:rsidR="00542D2B" w:rsidRDefault="00542D2B" w:rsidP="00542D2B">
      <w:pPr>
        <w:pStyle w:val="Heading2"/>
      </w:pPr>
      <w:r>
        <w:t>Visualization</w:t>
      </w:r>
    </w:p>
    <w:p w14:paraId="70A988DC" w14:textId="4E5DF34C" w:rsidR="00542D2B" w:rsidRDefault="00542D2B" w:rsidP="00C755B4">
      <w:pPr>
        <w:ind w:firstLine="14.40pt"/>
        <w:jc w:val="both"/>
      </w:pPr>
      <w:r>
        <w:t xml:space="preserve">Principal Component Analysis (PCA) was applied solely for visualization purposes to project high-dimensional feature vectors into two dimensions. PCA was not used during clustering. PCA plots are used to visually confirm </w:t>
      </w:r>
      <w:r w:rsidR="00887637">
        <w:t>separation</w:t>
      </w:r>
      <w:r>
        <w:t xml:space="preserve"> between clusters and help with interpretation.</w:t>
      </w:r>
    </w:p>
    <w:p w14:paraId="78472E97" w14:textId="77777777" w:rsidR="00E46529" w:rsidRDefault="00E46529" w:rsidP="00542D2B">
      <w:pPr>
        <w:jc w:val="both"/>
      </w:pPr>
    </w:p>
    <w:p w14:paraId="44BA03B5" w14:textId="3128E11F" w:rsidR="00542D2B" w:rsidRDefault="00542D2B" w:rsidP="00542D2B">
      <w:pPr>
        <w:pStyle w:val="Heading1"/>
      </w:pPr>
      <w:r>
        <w:t>Results and Analysis</w:t>
      </w:r>
    </w:p>
    <w:p w14:paraId="192B95EB" w14:textId="3D3D0C0F" w:rsidR="00C755B4" w:rsidRPr="00C755B4" w:rsidRDefault="00C755B4" w:rsidP="00C755B4">
      <w:pPr>
        <w:pStyle w:val="Heading2"/>
      </w:pPr>
      <w:r>
        <w:t>Baseline Clustering Results</w:t>
      </w:r>
    </w:p>
    <w:p w14:paraId="2E6D4F46" w14:textId="029AADDB" w:rsidR="00542D2B" w:rsidRDefault="00542D2B" w:rsidP="00C755B4">
      <w:pPr>
        <w:ind w:firstLine="14.40pt"/>
        <w:jc w:val="both"/>
      </w:pPr>
      <w:r>
        <w:t xml:space="preserve">Clustering using only mean sentiment polarity produced </w:t>
      </w:r>
      <w:r w:rsidR="00C17586">
        <w:t xml:space="preserve">very high silhouette scores across all holidays, with values exceeding 0.70 in several cases. This outcome is expected, as </w:t>
      </w:r>
      <w:r w:rsidR="00C17586">
        <w:lastRenderedPageBreak/>
        <w:t xml:space="preserve">clustering on a single scalar variable is inherently simple and yields compact clusters. </w:t>
      </w:r>
      <w:r w:rsidR="00887637">
        <w:t>However,</w:t>
      </w:r>
      <w:r w:rsidR="00C17586">
        <w:t xml:space="preserve"> </w:t>
      </w:r>
      <w:r w:rsidR="00887637">
        <w:t>despite</w:t>
      </w:r>
      <w:r w:rsidR="00C17586">
        <w:t xml:space="preserve"> high internal validation scores, these clusters provide limited insight, effectively partitioning cities along a one-dimensional sentiment without capturing meaningful emotional and market expression.</w:t>
      </w:r>
    </w:p>
    <w:p w14:paraId="17ABA7C1" w14:textId="77777777" w:rsidR="0087385B" w:rsidRDefault="0087385B" w:rsidP="00C755B4">
      <w:pPr>
        <w:ind w:firstLine="14.40pt"/>
        <w:jc w:val="both"/>
      </w:pPr>
    </w:p>
    <w:p w14:paraId="65C4359C" w14:textId="1B12FC84" w:rsidR="00C755B4" w:rsidRDefault="00C755B4" w:rsidP="0087385B">
      <w:r w:rsidRPr="0087385B">
        <w:t>TABLE</w:t>
      </w:r>
      <w:r w:rsidR="001A2C9A" w:rsidRPr="0087385B">
        <w:t xml:space="preserve"> 3</w:t>
      </w:r>
      <w:r w:rsidR="0087385B">
        <w:t>:</w:t>
      </w:r>
      <w:r w:rsidRPr="0087385B">
        <w:t xml:space="preserve"> </w:t>
      </w:r>
      <w:r w:rsidR="0087385B">
        <w:t xml:space="preserve">Baseline </w:t>
      </w:r>
      <w:r w:rsidR="00887637">
        <w:t>Clustering</w:t>
      </w:r>
      <w:r w:rsidR="0087385B">
        <w:t xml:space="preserve"> </w:t>
      </w:r>
      <w:r w:rsidR="00887637">
        <w:t>Performance</w:t>
      </w:r>
    </w:p>
    <w:p w14:paraId="49F473F5" w14:textId="20286BB0" w:rsidR="00C755B4" w:rsidRDefault="0087385B" w:rsidP="00542D2B">
      <w:pPr>
        <w:jc w:val="both"/>
      </w:pPr>
      <w:r w:rsidRPr="0087385B">
        <w:rPr>
          <w:noProof/>
        </w:rPr>
        <w:drawing>
          <wp:inline distT="0" distB="0" distL="0" distR="0" wp14:anchorId="49B7EF44" wp14:editId="7FF23F10">
            <wp:extent cx="3195955" cy="3706495"/>
            <wp:effectExtent l="0" t="0" r="4445" b="1905"/>
            <wp:docPr id="57589754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5897541" name=""/>
                    <pic:cNvPicPr/>
                  </pic:nvPicPr>
                  <pic:blipFill>
                    <a:blip r:embed="rId9"/>
                    <a:stretch>
                      <a:fillRect/>
                    </a:stretch>
                  </pic:blipFill>
                  <pic:spPr>
                    <a:xfrm>
                      <a:off x="0" y="0"/>
                      <a:ext cx="3195955" cy="3706495"/>
                    </a:xfrm>
                    <a:prstGeom prst="rect">
                      <a:avLst/>
                    </a:prstGeom>
                  </pic:spPr>
                </pic:pic>
              </a:graphicData>
            </a:graphic>
          </wp:inline>
        </w:drawing>
      </w:r>
    </w:p>
    <w:p w14:paraId="2EABA7E9" w14:textId="5F8C4C94" w:rsidR="00C755B4" w:rsidRDefault="00C755B4" w:rsidP="00C755B4">
      <w:pPr>
        <w:pStyle w:val="Heading2"/>
      </w:pPr>
      <w:r>
        <w:t>Rich Feature Clustering Results</w:t>
      </w:r>
    </w:p>
    <w:p w14:paraId="799DE6C9" w14:textId="7FD46968" w:rsidR="00C755B4" w:rsidRDefault="00C755B4" w:rsidP="00C755B4">
      <w:pPr>
        <w:ind w:firstLine="14.40pt"/>
        <w:jc w:val="both"/>
      </w:pPr>
      <w:r>
        <w:t xml:space="preserve">When </w:t>
      </w:r>
      <w:r w:rsidR="00C17586">
        <w:t xml:space="preserve">sentiment, emotion, and market features were combined, silhouette scores were lower than those obtained using sentiment alone. This reduction reflects the increased </w:t>
      </w:r>
      <w:r w:rsidR="00887637">
        <w:t>dimensionality</w:t>
      </w:r>
      <w:r w:rsidR="00C17586">
        <w:t xml:space="preserve"> and complexity of the feature spaces rather than inferior clustering. Importantly, the resulting clusters were far more interpretable, stable across </w:t>
      </w:r>
      <w:r w:rsidR="00887637">
        <w:t>holidays</w:t>
      </w:r>
      <w:r w:rsidR="00C17586">
        <w:t xml:space="preserve">, and </w:t>
      </w:r>
      <w:r w:rsidR="00887637">
        <w:t>aligned</w:t>
      </w:r>
      <w:r w:rsidR="00C17586">
        <w:t xml:space="preserve"> with meaningful differences in both emotional expression and market characteristics. These results highlight the limitation of relying solely on compactness metrics when performing descriptive clustering. </w:t>
      </w:r>
    </w:p>
    <w:p w14:paraId="138DCAC2" w14:textId="361F8F7F" w:rsidR="0087385B" w:rsidRDefault="0087385B" w:rsidP="00C755B4">
      <w:pPr>
        <w:ind w:firstLine="14.40pt"/>
        <w:jc w:val="both"/>
      </w:pPr>
      <w:r>
        <w:t xml:space="preserve">As seen below, here are the final selected clusters meeting the best internal validation metrics showing recommended “k” </w:t>
      </w:r>
      <w:r w:rsidR="002C7C94">
        <w:t>clusters for rich features</w:t>
      </w:r>
      <w:r>
        <w:t>.</w:t>
      </w:r>
    </w:p>
    <w:p w14:paraId="5AAC5890" w14:textId="77777777" w:rsidR="0087385B" w:rsidRDefault="0087385B" w:rsidP="00C755B4">
      <w:pPr>
        <w:ind w:firstLine="14.40pt"/>
        <w:jc w:val="both"/>
      </w:pPr>
    </w:p>
    <w:p w14:paraId="5934AE60" w14:textId="1B0E791D" w:rsidR="00C755B4" w:rsidRPr="002D6868" w:rsidRDefault="00C755B4" w:rsidP="0087385B">
      <w:pPr>
        <w:rPr>
          <w:i/>
          <w:iCs/>
          <w:sz w:val="18"/>
          <w:szCs w:val="18"/>
        </w:rPr>
      </w:pPr>
      <w:r w:rsidRPr="002D6868">
        <w:rPr>
          <w:i/>
          <w:iCs/>
          <w:sz w:val="18"/>
          <w:szCs w:val="18"/>
        </w:rPr>
        <w:t xml:space="preserve">TABLE </w:t>
      </w:r>
      <w:r w:rsidR="001A2C9A" w:rsidRPr="002D6868">
        <w:rPr>
          <w:i/>
          <w:iCs/>
          <w:sz w:val="18"/>
          <w:szCs w:val="18"/>
        </w:rPr>
        <w:t>4</w:t>
      </w:r>
      <w:r w:rsidR="002D6868">
        <w:rPr>
          <w:i/>
          <w:iCs/>
          <w:sz w:val="18"/>
          <w:szCs w:val="18"/>
        </w:rPr>
        <w:t>:</w:t>
      </w:r>
      <w:r w:rsidRPr="002D6868">
        <w:rPr>
          <w:i/>
          <w:iCs/>
          <w:sz w:val="18"/>
          <w:szCs w:val="18"/>
        </w:rPr>
        <w:t xml:space="preserve"> CLUSTERS AND VAL METRIC</w:t>
      </w:r>
    </w:p>
    <w:p w14:paraId="71E878FF" w14:textId="043AB791" w:rsidR="00C755B4" w:rsidRDefault="0087385B" w:rsidP="00C755B4">
      <w:pPr>
        <w:jc w:val="both"/>
      </w:pPr>
      <w:r w:rsidRPr="0087385B">
        <w:rPr>
          <w:noProof/>
        </w:rPr>
        <w:drawing>
          <wp:inline distT="0" distB="0" distL="0" distR="0" wp14:anchorId="5BA0E87A" wp14:editId="726492BD">
            <wp:extent cx="3002844" cy="988021"/>
            <wp:effectExtent l="0" t="0" r="0" b="3175"/>
            <wp:docPr id="8306573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065731" name=""/>
                    <pic:cNvPicPr/>
                  </pic:nvPicPr>
                  <pic:blipFill>
                    <a:blip r:embed="rId10"/>
                    <a:stretch>
                      <a:fillRect/>
                    </a:stretch>
                  </pic:blipFill>
                  <pic:spPr>
                    <a:xfrm>
                      <a:off x="0" y="0"/>
                      <a:ext cx="3027568" cy="996156"/>
                    </a:xfrm>
                    <a:prstGeom prst="rect">
                      <a:avLst/>
                    </a:prstGeom>
                  </pic:spPr>
                </pic:pic>
              </a:graphicData>
            </a:graphic>
          </wp:inline>
        </w:drawing>
      </w:r>
    </w:p>
    <w:p w14:paraId="2E31E821" w14:textId="16E8D593" w:rsidR="00C755B4" w:rsidRDefault="00C755B4" w:rsidP="00C755B4">
      <w:pPr>
        <w:pStyle w:val="Heading2"/>
      </w:pPr>
      <w:r>
        <w:t>Christmas Case Study: Cluster Structure</w:t>
      </w:r>
    </w:p>
    <w:p w14:paraId="6C4FEEB5" w14:textId="35D94B81" w:rsidR="00C755B4" w:rsidRDefault="00C17586" w:rsidP="009A3BE9">
      <w:pPr>
        <w:ind w:firstLine="14.40pt"/>
        <w:jc w:val="both"/>
      </w:pPr>
      <w:r>
        <w:t xml:space="preserve">Christmas is used as a representative case study to illustrate the structure and interpretation of the resulting clusters. </w:t>
      </w:r>
      <w:r w:rsidR="001A2C9A">
        <w:t xml:space="preserve">A two-cluster solution provided the most interpretable structure for the rich </w:t>
      </w:r>
      <w:r w:rsidR="00887637">
        <w:t>feature</w:t>
      </w:r>
      <w:r w:rsidR="001A2C9A">
        <w:t xml:space="preserve"> set.</w:t>
      </w:r>
    </w:p>
    <w:p w14:paraId="66CDB2DE" w14:textId="77777777" w:rsidR="001A2C9A" w:rsidRDefault="001A2C9A" w:rsidP="009A3BE9">
      <w:pPr>
        <w:ind w:firstLine="14.40pt"/>
        <w:jc w:val="both"/>
      </w:pPr>
    </w:p>
    <w:p w14:paraId="161CF268" w14:textId="32034BF5" w:rsidR="00C755B4" w:rsidRPr="00631EE6" w:rsidRDefault="001A2C9A" w:rsidP="00631EE6">
      <w:pPr>
        <w:rPr>
          <w:i/>
          <w:iCs/>
          <w:sz w:val="18"/>
          <w:szCs w:val="18"/>
        </w:rPr>
      </w:pPr>
      <w:r w:rsidRPr="00631EE6">
        <w:rPr>
          <w:i/>
          <w:iCs/>
          <w:sz w:val="18"/>
          <w:szCs w:val="18"/>
        </w:rPr>
        <w:t>T</w:t>
      </w:r>
      <w:r w:rsidR="00631EE6" w:rsidRPr="00631EE6">
        <w:rPr>
          <w:i/>
          <w:iCs/>
          <w:sz w:val="18"/>
          <w:szCs w:val="18"/>
        </w:rPr>
        <w:t>ABLE</w:t>
      </w:r>
      <w:r w:rsidRPr="00631EE6">
        <w:rPr>
          <w:i/>
          <w:iCs/>
          <w:sz w:val="18"/>
          <w:szCs w:val="18"/>
        </w:rPr>
        <w:t xml:space="preserve"> 5: Christmas Cluster Centroids</w:t>
      </w:r>
    </w:p>
    <w:p w14:paraId="34E055F7" w14:textId="557DB183" w:rsidR="00631EE6" w:rsidRDefault="00631EE6" w:rsidP="00C755B4">
      <w:pPr>
        <w:jc w:val="both"/>
      </w:pPr>
      <w:r w:rsidRPr="00631EE6">
        <w:rPr>
          <w:noProof/>
        </w:rPr>
        <w:drawing>
          <wp:inline distT="0" distB="0" distL="0" distR="0" wp14:anchorId="520FC6C8" wp14:editId="5D238AE6">
            <wp:extent cx="3195955" cy="793750"/>
            <wp:effectExtent l="0" t="0" r="4445" b="6350"/>
            <wp:docPr id="14804544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0454469" name=""/>
                    <pic:cNvPicPr/>
                  </pic:nvPicPr>
                  <pic:blipFill>
                    <a:blip r:embed="rId11"/>
                    <a:stretch>
                      <a:fillRect/>
                    </a:stretch>
                  </pic:blipFill>
                  <pic:spPr>
                    <a:xfrm>
                      <a:off x="0" y="0"/>
                      <a:ext cx="3195955" cy="793750"/>
                    </a:xfrm>
                    <a:prstGeom prst="rect">
                      <a:avLst/>
                    </a:prstGeom>
                  </pic:spPr>
                </pic:pic>
              </a:graphicData>
            </a:graphic>
          </wp:inline>
        </w:drawing>
      </w:r>
    </w:p>
    <w:p w14:paraId="48930D44" w14:textId="2390375D" w:rsidR="00631EE6" w:rsidRDefault="00631EE6" w:rsidP="00631EE6">
      <w:r>
        <w:t>(Cluster 0 highlighted in grey)</w:t>
      </w:r>
    </w:p>
    <w:p w14:paraId="58056867" w14:textId="77777777" w:rsidR="00631EE6" w:rsidRDefault="00631EE6" w:rsidP="00631EE6"/>
    <w:p w14:paraId="636479D1" w14:textId="0710631C" w:rsidR="00C755B4" w:rsidRDefault="00C17586" w:rsidP="00C755B4">
      <w:pPr>
        <w:jc w:val="both"/>
      </w:pPr>
      <w:r>
        <w:t xml:space="preserve">Examination of cluster centroids reveals two distinct holiday experience profiles. The first cluster is characterized by very high positive </w:t>
      </w:r>
      <w:r w:rsidR="00887637">
        <w:t>sentiment</w:t>
      </w:r>
      <w:r w:rsidR="00BD1234">
        <w:t xml:space="preserve"> (mean compound sentiment approximately 0.77)</w:t>
      </w:r>
      <w:r>
        <w:t>, a high proportion of positive reviews</w:t>
      </w:r>
      <w:r w:rsidR="00BD1234">
        <w:t xml:space="preserve"> (over 90%)</w:t>
      </w:r>
      <w:r>
        <w:t xml:space="preserve">, and strong emotional expression in joy, trust, and anticipation. </w:t>
      </w:r>
      <w:r w:rsidR="00BD1234">
        <w:t xml:space="preserve">Market characteristics for this cluster include high average price and extremely large price </w:t>
      </w:r>
      <w:r w:rsidR="00887637">
        <w:t>variability</w:t>
      </w:r>
      <w:r w:rsidR="00BD1234">
        <w:t xml:space="preserve">, along with lower average availability. These features suggest that this cluster represent emotional intense holiday experiences </w:t>
      </w:r>
      <w:r w:rsidR="00887637">
        <w:t>occurring</w:t>
      </w:r>
      <w:r w:rsidR="00BD1234">
        <w:t xml:space="preserve"> in highly </w:t>
      </w:r>
      <w:r w:rsidR="00887637">
        <w:t>differentiated</w:t>
      </w:r>
      <w:r w:rsidR="00BD1234">
        <w:t xml:space="preserve"> and premium market.</w:t>
      </w:r>
    </w:p>
    <w:p w14:paraId="5A54022B" w14:textId="315880B8" w:rsidR="009A3BE9" w:rsidRDefault="00BD1234" w:rsidP="00C755B4">
      <w:pPr>
        <w:jc w:val="both"/>
      </w:pPr>
      <w:r>
        <w:t xml:space="preserve">     </w:t>
      </w:r>
      <w:r w:rsidR="00C755B4">
        <w:t xml:space="preserve">The second cluster shows more moderate sentiment levels (mean compound sentiment around 0.48), a lower proportion of positive </w:t>
      </w:r>
      <w:r w:rsidR="00887637">
        <w:t>reviews</w:t>
      </w:r>
      <w:r w:rsidR="00C755B4">
        <w:t xml:space="preserve">, and weaker emotional expression across all NRC categories. Market features indicate lower average prices, substantially lower price </w:t>
      </w:r>
      <w:r w:rsidR="00887637">
        <w:t>variability</w:t>
      </w:r>
      <w:r w:rsidR="00C755B4">
        <w:t xml:space="preserve">, and higher </w:t>
      </w:r>
      <w:r w:rsidR="00887637">
        <w:t>availability</w:t>
      </w:r>
      <w:r w:rsidR="00C755B4">
        <w:t>, pointing to more stable and routine holiday markets.</w:t>
      </w:r>
    </w:p>
    <w:p w14:paraId="10C5405B" w14:textId="77777777" w:rsidR="00E46529" w:rsidRDefault="00E46529" w:rsidP="00C755B4">
      <w:pPr>
        <w:jc w:val="both"/>
      </w:pPr>
    </w:p>
    <w:p w14:paraId="019F148F" w14:textId="573AAB7C" w:rsidR="00436AEC" w:rsidRDefault="00436AEC" w:rsidP="00436AEC">
      <w:pPr>
        <w:pStyle w:val="Heading2"/>
      </w:pPr>
      <w:r>
        <w:t>City Membership for Christmas</w:t>
      </w:r>
    </w:p>
    <w:p w14:paraId="1F6BA753" w14:textId="77777777" w:rsidR="00436AEC" w:rsidRDefault="00436AEC" w:rsidP="00436AEC">
      <w:pPr>
        <w:pStyle w:val="BodyText"/>
      </w:pPr>
      <w:r>
        <w:t xml:space="preserve">To make the clustering results concrete, we examine which cities belong to each cluster during Christmas. </w:t>
      </w:r>
    </w:p>
    <w:p w14:paraId="7FFEF151" w14:textId="07A9411D" w:rsidR="00436AEC" w:rsidRPr="002D6868" w:rsidRDefault="001A2C9A" w:rsidP="00436AEC">
      <w:pPr>
        <w:pStyle w:val="BodyText"/>
        <w:rPr>
          <w:i/>
          <w:iCs/>
        </w:rPr>
      </w:pPr>
      <w:r w:rsidRPr="002D6868">
        <w:rPr>
          <w:i/>
          <w:iCs/>
        </w:rPr>
        <w:t>TABLE 6: City Membership by Christmas Cluster</w:t>
      </w:r>
    </w:p>
    <w:p w14:paraId="4F2BFDDC" w14:textId="6B9AB134" w:rsidR="002D6868" w:rsidRDefault="002D6868" w:rsidP="002C7C94">
      <w:pPr>
        <w:pStyle w:val="BodyText"/>
        <w:jc w:val="center"/>
      </w:pPr>
      <w:r w:rsidRPr="002D6868">
        <w:rPr>
          <w:noProof/>
        </w:rPr>
        <w:drawing>
          <wp:inline distT="0" distB="0" distL="0" distR="0" wp14:anchorId="288D0EBB" wp14:editId="59543A7A">
            <wp:extent cx="1806222" cy="2709333"/>
            <wp:effectExtent l="0" t="0" r="0" b="0"/>
            <wp:docPr id="3159766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5976676" name=""/>
                    <pic:cNvPicPr/>
                  </pic:nvPicPr>
                  <pic:blipFill>
                    <a:blip r:embed="rId12"/>
                    <a:stretch>
                      <a:fillRect/>
                    </a:stretch>
                  </pic:blipFill>
                  <pic:spPr>
                    <a:xfrm>
                      <a:off x="0" y="0"/>
                      <a:ext cx="1894247" cy="2841370"/>
                    </a:xfrm>
                    <a:prstGeom prst="rect">
                      <a:avLst/>
                    </a:prstGeom>
                  </pic:spPr>
                </pic:pic>
              </a:graphicData>
            </a:graphic>
          </wp:inline>
        </w:drawing>
      </w:r>
    </w:p>
    <w:p w14:paraId="727CAC48" w14:textId="20FB3DCB" w:rsidR="00436AEC" w:rsidRDefault="00436AEC" w:rsidP="00436AEC">
      <w:pPr>
        <w:pStyle w:val="BodyText"/>
      </w:pPr>
      <w:r>
        <w:lastRenderedPageBreak/>
        <w:t>Cities in the high-</w:t>
      </w:r>
      <w:r w:rsidR="00887637">
        <w:t>intensity</w:t>
      </w:r>
      <w:r>
        <w:t xml:space="preserve"> cluster tend to be large, internationally recognized tourist destinations, whereas cities in moderate cluster are </w:t>
      </w:r>
      <w:r w:rsidR="00887637">
        <w:t>generally</w:t>
      </w:r>
      <w:r>
        <w:t xml:space="preserve"> characterized by more stable and less </w:t>
      </w:r>
      <w:r w:rsidR="00887637">
        <w:t>volatile</w:t>
      </w:r>
      <w:r>
        <w:t xml:space="preserve"> holiday demand. </w:t>
      </w:r>
    </w:p>
    <w:p w14:paraId="68CF2958" w14:textId="77777777" w:rsidR="00E46529" w:rsidRDefault="00E46529" w:rsidP="00436AEC">
      <w:pPr>
        <w:pStyle w:val="BodyText"/>
      </w:pPr>
    </w:p>
    <w:p w14:paraId="66A33D18" w14:textId="412CF667" w:rsidR="00436AEC" w:rsidRDefault="00436AEC" w:rsidP="00436AEC">
      <w:pPr>
        <w:pStyle w:val="Heading2"/>
      </w:pPr>
      <w:r>
        <w:t>PCA Visualization</w:t>
      </w:r>
    </w:p>
    <w:p w14:paraId="6EAE57DB" w14:textId="4E9E8922" w:rsidR="001A2C9A" w:rsidRPr="00631EE6" w:rsidRDefault="001A2C9A" w:rsidP="001A2C9A">
      <w:pPr>
        <w:rPr>
          <w:sz w:val="18"/>
          <w:szCs w:val="18"/>
        </w:rPr>
      </w:pPr>
      <w:r w:rsidRPr="00631EE6">
        <w:rPr>
          <w:sz w:val="18"/>
          <w:szCs w:val="18"/>
        </w:rPr>
        <w:t xml:space="preserve">FIGURE </w:t>
      </w:r>
      <w:r w:rsidR="002330B0">
        <w:rPr>
          <w:sz w:val="18"/>
          <w:szCs w:val="18"/>
        </w:rPr>
        <w:t>1</w:t>
      </w:r>
      <w:r w:rsidRPr="00631EE6">
        <w:rPr>
          <w:sz w:val="18"/>
          <w:szCs w:val="18"/>
        </w:rPr>
        <w:t xml:space="preserve">: PCA Visualization of </w:t>
      </w:r>
      <w:r w:rsidR="00887637" w:rsidRPr="00631EE6">
        <w:rPr>
          <w:sz w:val="18"/>
          <w:szCs w:val="18"/>
        </w:rPr>
        <w:t>Christmas</w:t>
      </w:r>
      <w:r w:rsidRPr="00631EE6">
        <w:rPr>
          <w:sz w:val="18"/>
          <w:szCs w:val="18"/>
        </w:rPr>
        <w:t xml:space="preserve"> Clusters</w:t>
      </w:r>
    </w:p>
    <w:p w14:paraId="3BF4782F" w14:textId="181CB157" w:rsidR="001A2C9A" w:rsidRPr="001A2C9A" w:rsidRDefault="00631EE6" w:rsidP="001A2C9A">
      <w:r>
        <w:rPr>
          <w:noProof/>
        </w:rPr>
        <w:drawing>
          <wp:inline distT="0" distB="0" distL="0" distR="0" wp14:anchorId="1FCC1B2B" wp14:editId="62832CD4">
            <wp:extent cx="3195955" cy="2602865"/>
            <wp:effectExtent l="0" t="0" r="4445" b="635"/>
            <wp:docPr id="1640445167" name="Picture 2" descr="A graph with numbers and nam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0445167" name="Picture 2" descr="A graph with numbers and nam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5955" cy="2602865"/>
                    </a:xfrm>
                    <a:prstGeom prst="rect">
                      <a:avLst/>
                    </a:prstGeom>
                  </pic:spPr>
                </pic:pic>
              </a:graphicData>
            </a:graphic>
          </wp:inline>
        </w:drawing>
      </w:r>
    </w:p>
    <w:p w14:paraId="0F01A1F2" w14:textId="05E52A1D" w:rsidR="00436AEC" w:rsidRPr="00436AEC" w:rsidRDefault="001A2C9A" w:rsidP="00436AEC">
      <w:pPr>
        <w:ind w:firstLine="14.40pt"/>
        <w:jc w:val="both"/>
      </w:pPr>
      <w:r>
        <w:t xml:space="preserve">The PCA projection shows clear </w:t>
      </w:r>
      <w:r w:rsidR="00887637">
        <w:t>separation</w:t>
      </w:r>
      <w:r>
        <w:t xml:space="preserve"> between clusters, supporting the qualitative interpretation of distinct holiday </w:t>
      </w:r>
      <w:r w:rsidR="00887637">
        <w:t>experience</w:t>
      </w:r>
      <w:r>
        <w:t xml:space="preserve"> profiles.</w:t>
      </w:r>
    </w:p>
    <w:p w14:paraId="271B08C8" w14:textId="77777777" w:rsidR="00436AEC" w:rsidRDefault="00436AEC" w:rsidP="00A7546C">
      <w:pPr>
        <w:pStyle w:val="BodyText"/>
        <w:ind w:firstLine="0pt"/>
      </w:pPr>
    </w:p>
    <w:p w14:paraId="7CF49A21" w14:textId="77777777" w:rsidR="00067135" w:rsidRDefault="00067135" w:rsidP="00A7546C">
      <w:pPr>
        <w:pStyle w:val="BodyText"/>
        <w:ind w:firstLine="0pt"/>
      </w:pPr>
    </w:p>
    <w:p w14:paraId="313E693E" w14:textId="77777777" w:rsidR="00067135" w:rsidRDefault="00067135" w:rsidP="00A7546C">
      <w:pPr>
        <w:pStyle w:val="BodyText"/>
        <w:ind w:firstLine="0pt"/>
      </w:pPr>
    </w:p>
    <w:p w14:paraId="4EA7761B" w14:textId="77777777" w:rsidR="00067135" w:rsidRDefault="00067135" w:rsidP="00A7546C">
      <w:pPr>
        <w:pStyle w:val="BodyText"/>
        <w:ind w:firstLine="0pt"/>
      </w:pPr>
    </w:p>
    <w:p w14:paraId="5FCC69E1" w14:textId="59AD242D" w:rsidR="00067135" w:rsidRDefault="00067135" w:rsidP="00A7546C">
      <w:pPr>
        <w:pStyle w:val="BodyText"/>
        <w:ind w:firstLine="0pt"/>
      </w:pPr>
    </w:p>
    <w:p w14:paraId="60D88C6C" w14:textId="342B3523" w:rsidR="00067135" w:rsidRDefault="006A47B6" w:rsidP="00A7546C">
      <w:pPr>
        <w:pStyle w:val="BodyText"/>
        <w:ind w:firstLine="0pt"/>
      </w:pPr>
      <w:r>
        <w:rPr>
          <w:noProof/>
        </w:rPr>
        <w:drawing>
          <wp:anchor distT="0" distB="0" distL="114300" distR="114300" simplePos="0" relativeHeight="251660288" behindDoc="0" locked="0" layoutInCell="1" allowOverlap="1" wp14:anchorId="322903B8" wp14:editId="068C172F">
            <wp:simplePos x="0" y="0"/>
            <wp:positionH relativeFrom="column">
              <wp:posOffset>1714909</wp:posOffset>
            </wp:positionH>
            <wp:positionV relativeFrom="paragraph">
              <wp:posOffset>43180</wp:posOffset>
            </wp:positionV>
            <wp:extent cx="3195955" cy="111760"/>
            <wp:effectExtent l="0" t="0" r="4445" b="2540"/>
            <wp:wrapNone/>
            <wp:docPr id="63346211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3462110" name="Picture 633462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955" cy="111760"/>
                    </a:xfrm>
                    <a:prstGeom prst="rect">
                      <a:avLst/>
                    </a:prstGeom>
                  </pic:spPr>
                </pic:pic>
              </a:graphicData>
            </a:graphic>
            <wp14:sizeRelH relativeFrom="page">
              <wp14:pctWidth>0%</wp14:pctWidth>
            </wp14:sizeRelH>
            <wp14:sizeRelV relativeFrom="page">
              <wp14:pctHeight>0%</wp14:pctHeight>
            </wp14:sizeRelV>
          </wp:anchor>
        </w:drawing>
      </w:r>
      <w:r w:rsidR="00067135" w:rsidRPr="00067135">
        <w:rPr>
          <w:noProof/>
        </w:rPr>
        <w:drawing>
          <wp:anchor distT="0" distB="0" distL="114300" distR="114300" simplePos="0" relativeHeight="251659264" behindDoc="0" locked="0" layoutInCell="1" allowOverlap="1" wp14:anchorId="5577FFB1" wp14:editId="02E80DA5">
            <wp:simplePos x="0" y="0"/>
            <wp:positionH relativeFrom="column">
              <wp:posOffset>-113829</wp:posOffset>
            </wp:positionH>
            <wp:positionV relativeFrom="paragraph">
              <wp:posOffset>200906</wp:posOffset>
            </wp:positionV>
            <wp:extent cx="6820615" cy="924232"/>
            <wp:effectExtent l="0" t="0" r="0" b="3175"/>
            <wp:wrapNone/>
            <wp:docPr id="191101772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1017723" name=""/>
                    <pic:cNvPicPr/>
                  </pic:nvPicPr>
                  <pic:blipFill>
                    <a:blip r:embed="rId15"/>
                    <a:stretch>
                      <a:fillRect/>
                    </a:stretch>
                  </pic:blipFill>
                  <pic:spPr>
                    <a:xfrm>
                      <a:off x="0" y="0"/>
                      <a:ext cx="6985187" cy="946532"/>
                    </a:xfrm>
                    <a:prstGeom prst="rect">
                      <a:avLst/>
                    </a:prstGeom>
                  </pic:spPr>
                </pic:pic>
              </a:graphicData>
            </a:graphic>
            <wp14:sizeRelH relativeFrom="page">
              <wp14:pctWidth>0%</wp14:pctWidth>
            </wp14:sizeRelH>
            <wp14:sizeRelV relativeFrom="page">
              <wp14:pctHeight>0%</wp14:pctHeight>
            </wp14:sizeRelV>
          </wp:anchor>
        </w:drawing>
      </w:r>
    </w:p>
    <w:p w14:paraId="22E92957" w14:textId="654033D2" w:rsidR="00067135" w:rsidRDefault="00067135" w:rsidP="00A7546C">
      <w:pPr>
        <w:pStyle w:val="BodyText"/>
        <w:ind w:firstLine="0pt"/>
      </w:pPr>
    </w:p>
    <w:p w14:paraId="6DA7996E" w14:textId="47768C23" w:rsidR="00067135" w:rsidRDefault="00067135" w:rsidP="00A7546C">
      <w:pPr>
        <w:pStyle w:val="BodyText"/>
        <w:ind w:firstLine="0pt"/>
      </w:pPr>
    </w:p>
    <w:p w14:paraId="4E5625AE" w14:textId="12CD5317" w:rsidR="00067135" w:rsidRDefault="00067135" w:rsidP="00A7546C">
      <w:pPr>
        <w:pStyle w:val="BodyText"/>
        <w:ind w:firstLine="0pt"/>
      </w:pPr>
    </w:p>
    <w:p w14:paraId="763DBFEB" w14:textId="634BA8A3" w:rsidR="00067135" w:rsidRDefault="00067135" w:rsidP="00A7546C">
      <w:pPr>
        <w:pStyle w:val="BodyText"/>
        <w:ind w:firstLine="0pt"/>
      </w:pPr>
    </w:p>
    <w:p w14:paraId="0D359A48" w14:textId="1E0B05B7" w:rsidR="00067135" w:rsidRDefault="00067135" w:rsidP="00A7546C">
      <w:pPr>
        <w:pStyle w:val="BodyText"/>
        <w:ind w:firstLine="0pt"/>
      </w:pPr>
    </w:p>
    <w:p w14:paraId="4825BE76" w14:textId="46B4EDFE" w:rsidR="00067135" w:rsidRDefault="006D03C4" w:rsidP="00A7546C">
      <w:pPr>
        <w:pStyle w:val="BodyText"/>
        <w:ind w:firstLine="0pt"/>
      </w:pPr>
      <w:r>
        <w:rPr>
          <w:noProof/>
          <w:color w:val="FF0000"/>
        </w:rPr>
        <w:drawing>
          <wp:anchor distT="0" distB="0" distL="114300" distR="114300" simplePos="0" relativeHeight="251672576" behindDoc="0" locked="0" layoutInCell="1" allowOverlap="1" wp14:anchorId="57247C96" wp14:editId="07C5ED8F">
            <wp:simplePos x="0" y="0"/>
            <wp:positionH relativeFrom="column">
              <wp:posOffset>2346325</wp:posOffset>
            </wp:positionH>
            <wp:positionV relativeFrom="paragraph">
              <wp:posOffset>85544</wp:posOffset>
            </wp:positionV>
            <wp:extent cx="1583872" cy="229837"/>
            <wp:effectExtent l="0" t="0" r="0" b="0"/>
            <wp:wrapNone/>
            <wp:docPr id="432426493" name="Picture 7" descr="A close-up of a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32426493" name="Picture 7" descr="A close-up of a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3872" cy="229837"/>
                    </a:xfrm>
                    <a:prstGeom prst="rect">
                      <a:avLst/>
                    </a:prstGeom>
                  </pic:spPr>
                </pic:pic>
              </a:graphicData>
            </a:graphic>
            <wp14:sizeRelH relativeFrom="page">
              <wp14:pctWidth>0%</wp14:pctWidth>
            </wp14:sizeRelH>
            <wp14:sizeRelV relativeFrom="page">
              <wp14:pctHeight>0%</wp14:pctHeight>
            </wp14:sizeRelV>
          </wp:anchor>
        </w:drawing>
      </w:r>
    </w:p>
    <w:p w14:paraId="43239E3E" w14:textId="3F4503B1" w:rsidR="00067135" w:rsidRDefault="002330B0" w:rsidP="00A7546C">
      <w:pPr>
        <w:pStyle w:val="BodyText"/>
        <w:ind w:firstLine="0pt"/>
      </w:pPr>
      <w:r>
        <w:rPr>
          <w:noProof/>
          <w:color w:val="FF0000"/>
        </w:rPr>
        <w:drawing>
          <wp:anchor distT="0" distB="0" distL="114300" distR="114300" simplePos="0" relativeHeight="251668480" behindDoc="0" locked="0" layoutInCell="1" allowOverlap="1" wp14:anchorId="443247CB" wp14:editId="095D958F">
            <wp:simplePos x="0" y="0"/>
            <wp:positionH relativeFrom="column">
              <wp:posOffset>3196680</wp:posOffset>
            </wp:positionH>
            <wp:positionV relativeFrom="paragraph">
              <wp:posOffset>184603</wp:posOffset>
            </wp:positionV>
            <wp:extent cx="1865630" cy="1527175"/>
            <wp:effectExtent l="0" t="0" r="1270" b="0"/>
            <wp:wrapNone/>
            <wp:docPr id="1131246089" name="Picture 3" descr="A graph with numbers and nam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0086102" name="Picture 3" descr="A graph with numbers and nam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65630" cy="1527175"/>
                    </a:xfrm>
                    <a:prstGeom prst="rect">
                      <a:avLst/>
                    </a:prstGeom>
                  </pic:spPr>
                </pic:pic>
              </a:graphicData>
            </a:graphic>
            <wp14:sizeRelH relativeFrom="page">
              <wp14:pctWidth>0%</wp14:pctWidth>
            </wp14:sizeRelH>
            <wp14:sizeRelV relativeFrom="page">
              <wp14:pctHeight>0%</wp14:pctHeight>
            </wp14:sizeRelV>
          </wp:anchor>
        </w:drawing>
      </w:r>
      <w:r>
        <w:rPr>
          <w:noProof/>
          <w:color w:val="FF0000"/>
        </w:rPr>
        <w:drawing>
          <wp:anchor distT="0" distB="0" distL="114300" distR="114300" simplePos="0" relativeHeight="251669504" behindDoc="0" locked="0" layoutInCell="1" allowOverlap="1" wp14:anchorId="0612BDCB" wp14:editId="07DECCA5">
            <wp:simplePos x="0" y="0"/>
            <wp:positionH relativeFrom="column">
              <wp:posOffset>-420824</wp:posOffset>
            </wp:positionH>
            <wp:positionV relativeFrom="paragraph">
              <wp:posOffset>206194</wp:posOffset>
            </wp:positionV>
            <wp:extent cx="1804308" cy="1500606"/>
            <wp:effectExtent l="0" t="0" r="0" b="0"/>
            <wp:wrapNone/>
            <wp:docPr id="303611419" name="Picture 5" descr="A graph with numbers and nam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9917978" name="Picture 5" descr="A graph with numbers and nam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4854" cy="1501060"/>
                    </a:xfrm>
                    <a:prstGeom prst="rect">
                      <a:avLst/>
                    </a:prstGeom>
                  </pic:spPr>
                </pic:pic>
              </a:graphicData>
            </a:graphic>
            <wp14:sizeRelH relativeFrom="page">
              <wp14:pctWidth>0%</wp14:pctWidth>
            </wp14:sizeRelH>
            <wp14:sizeRelV relativeFrom="page">
              <wp14:pctHeight>0%</wp14:pctHeight>
            </wp14:sizeRelV>
          </wp:anchor>
        </w:drawing>
      </w:r>
      <w:r>
        <w:rPr>
          <w:noProof/>
          <w:color w:val="FF0000"/>
        </w:rPr>
        <w:drawing>
          <wp:anchor distT="0" distB="0" distL="114300" distR="114300" simplePos="0" relativeHeight="251666432" behindDoc="0" locked="0" layoutInCell="1" allowOverlap="1" wp14:anchorId="7D2049CF" wp14:editId="7A1B642B">
            <wp:simplePos x="0" y="0"/>
            <wp:positionH relativeFrom="column">
              <wp:posOffset>1385854</wp:posOffset>
            </wp:positionH>
            <wp:positionV relativeFrom="paragraph">
              <wp:posOffset>211743</wp:posOffset>
            </wp:positionV>
            <wp:extent cx="1821952" cy="1495771"/>
            <wp:effectExtent l="0" t="0" r="0" b="3175"/>
            <wp:wrapNone/>
            <wp:docPr id="898293158" name="Picture 2" descr="A graph with number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71770310" name="Picture 2" descr="A graph with numbers and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1952" cy="1495771"/>
                    </a:xfrm>
                    <a:prstGeom prst="rect">
                      <a:avLst/>
                    </a:prstGeom>
                  </pic:spPr>
                </pic:pic>
              </a:graphicData>
            </a:graphic>
            <wp14:sizeRelH relativeFrom="page">
              <wp14:pctWidth>0%</wp14:pctWidth>
            </wp14:sizeRelH>
            <wp14:sizeRelV relativeFrom="page">
              <wp14:pctHeight>0%</wp14:pctHeight>
            </wp14:sizeRelV>
          </wp:anchor>
        </w:drawing>
      </w:r>
    </w:p>
    <w:p w14:paraId="22318B68" w14:textId="316768B5" w:rsidR="00067135" w:rsidRDefault="00067135" w:rsidP="00A7546C">
      <w:pPr>
        <w:pStyle w:val="BodyText"/>
        <w:ind w:firstLine="0pt"/>
      </w:pPr>
    </w:p>
    <w:p w14:paraId="48C3DD22" w14:textId="4340A97B" w:rsidR="00067135" w:rsidRDefault="00067135" w:rsidP="00A7546C">
      <w:pPr>
        <w:pStyle w:val="BodyText"/>
        <w:ind w:firstLine="0pt"/>
      </w:pPr>
    </w:p>
    <w:p w14:paraId="36ECF5B3" w14:textId="68107A13" w:rsidR="00067135" w:rsidRDefault="00067135" w:rsidP="00A7546C">
      <w:pPr>
        <w:pStyle w:val="BodyText"/>
        <w:ind w:firstLine="0pt"/>
      </w:pPr>
    </w:p>
    <w:p w14:paraId="3993DDBC" w14:textId="36212198" w:rsidR="00067135" w:rsidRDefault="00067135" w:rsidP="00A7546C">
      <w:pPr>
        <w:pStyle w:val="BodyText"/>
        <w:ind w:firstLine="0pt"/>
      </w:pPr>
    </w:p>
    <w:p w14:paraId="4E8CAC83" w14:textId="77777777" w:rsidR="00067135" w:rsidRDefault="00067135" w:rsidP="00A7546C">
      <w:pPr>
        <w:pStyle w:val="BodyText"/>
        <w:ind w:firstLine="0pt"/>
      </w:pPr>
    </w:p>
    <w:p w14:paraId="34A0BE31" w14:textId="4CB42385" w:rsidR="00A7546C" w:rsidRDefault="00A7546C" w:rsidP="00A7546C">
      <w:pPr>
        <w:pStyle w:val="Heading2"/>
      </w:pPr>
      <w:r>
        <w:t>Comparison Across Holidays</w:t>
      </w:r>
    </w:p>
    <w:p w14:paraId="238CF0A5" w14:textId="25B612B4" w:rsidR="00A7546C" w:rsidRDefault="006D03C4" w:rsidP="00A7546C">
      <w:pPr>
        <w:jc w:val="both"/>
      </w:pPr>
      <w:r>
        <w:t xml:space="preserve">     </w:t>
      </w:r>
      <w:r w:rsidR="00A7546C">
        <w:t xml:space="preserve">While Christmas is presented as a detailed case study, similar clustering patterns were observed across the </w:t>
      </w:r>
      <w:r w:rsidR="00887637">
        <w:t>remaining</w:t>
      </w:r>
      <w:r w:rsidR="00A7546C">
        <w:t xml:space="preserve"> holidays: Easter, Halloween, New Year’s, and Valentine’s Day. For each holiday, cities </w:t>
      </w:r>
      <w:r w:rsidR="00887637">
        <w:t>consistently</w:t>
      </w:r>
      <w:r w:rsidR="00A7546C">
        <w:t xml:space="preserve"> </w:t>
      </w:r>
      <w:r w:rsidR="00887637">
        <w:t>separated</w:t>
      </w:r>
      <w:r w:rsidR="00A7546C">
        <w:t xml:space="preserve"> into two primary clusters when using the rich feature set that combines sentiment, emotion, and market </w:t>
      </w:r>
      <w:r w:rsidR="00887637">
        <w:t>characteristics</w:t>
      </w:r>
      <w:r w:rsidR="00A7546C">
        <w:t>.</w:t>
      </w:r>
    </w:p>
    <w:p w14:paraId="4DB0A192" w14:textId="022148E7" w:rsidR="00A7546C" w:rsidRDefault="00A7546C" w:rsidP="00A7546C">
      <w:pPr>
        <w:jc w:val="both"/>
      </w:pPr>
      <w:r>
        <w:t xml:space="preserve">     Across all holidays, on cluster was characterized by higher average sentiment, a larger proportion of positive reviews, and stronger emotional signals, </w:t>
      </w:r>
      <w:r w:rsidR="00887637">
        <w:t>particularly</w:t>
      </w:r>
      <w:r>
        <w:t xml:space="preserve"> in joy, trust, anticipation. These cities also tended to exhibit average prices and greater price variability, suggesting increased demand and more differentiated holiday markets. The second cluster consistently showed more moderate sentiment levels, weaker emotional intensity, lower prices, and higher </w:t>
      </w:r>
      <w:r w:rsidR="00887637">
        <w:t>availability</w:t>
      </w:r>
      <w:r>
        <w:t>, reflecting more stable and less emotionally charged holiday experiences.</w:t>
      </w:r>
    </w:p>
    <w:p w14:paraId="3A5897D8" w14:textId="35A7F745" w:rsidR="00A7546C" w:rsidRDefault="006D03C4" w:rsidP="00A7546C">
      <w:pPr>
        <w:jc w:val="both"/>
      </w:pPr>
      <w:r>
        <w:t xml:space="preserve">     </w:t>
      </w:r>
      <w:r w:rsidR="00A7546C">
        <w:t xml:space="preserve">Although the dominant emotional signals varied by holiday, the overall structure of the clusters remained consistent. For example, Valentine’s Day clusters were </w:t>
      </w:r>
      <w:r w:rsidR="00887637">
        <w:t>distinguished</w:t>
      </w:r>
      <w:r w:rsidR="00A7546C">
        <w:t xml:space="preserve"> primarily by elevated expressions of joy and trust, while </w:t>
      </w:r>
      <w:r w:rsidR="00887637">
        <w:t>Halloween</w:t>
      </w:r>
      <w:r w:rsidR="00A7546C">
        <w:t xml:space="preserve"> clusters showed comparatively higher levels of fear and anticipation. Easter and New Year’s exhibited intermediate emotional profiles but followed the same general pattern of </w:t>
      </w:r>
      <w:r w:rsidR="00887637">
        <w:t>separation</w:t>
      </w:r>
      <w:r w:rsidR="00A7546C">
        <w:t xml:space="preserve"> between high-intensity and moderate holiday markets.</w:t>
      </w:r>
    </w:p>
    <w:p w14:paraId="25FE5C20" w14:textId="3023163D" w:rsidR="00A7546C" w:rsidRPr="00A7546C" w:rsidRDefault="002330B0" w:rsidP="002330B0">
      <w:pPr>
        <w:jc w:val="both"/>
      </w:pPr>
      <w:r>
        <w:t xml:space="preserve">     </w:t>
      </w:r>
      <w:r w:rsidR="00A7546C">
        <w:t xml:space="preserve">Importantly, the consistency of this two-cluster structure across all five holidays </w:t>
      </w:r>
      <w:r w:rsidR="00887637">
        <w:t>suggests</w:t>
      </w:r>
      <w:r w:rsidR="00A7546C">
        <w:t xml:space="preserve"> that the identified holiday </w:t>
      </w:r>
      <w:r w:rsidR="00887637">
        <w:t>experience</w:t>
      </w:r>
      <w:r w:rsidR="00A7546C">
        <w:t xml:space="preserve"> profiles are not artifacts of a single holiday but represent recurring patterns in how cities are experienced during peak travel periods. This </w:t>
      </w:r>
      <w:r w:rsidR="00887637">
        <w:t>cross</w:t>
      </w:r>
      <w:r w:rsidR="00A7546C">
        <w:t xml:space="preserve">-holiday stability supports the interpretation that cities exhibit persistent experiential </w:t>
      </w:r>
      <w:r w:rsidR="00887637">
        <w:t>characteristics</w:t>
      </w:r>
      <w:r w:rsidR="00A7546C">
        <w:t xml:space="preserve"> that manifest differently depending on the emotional context of the holiday.</w:t>
      </w:r>
    </w:p>
    <w:p w14:paraId="753DB457" w14:textId="06D33041" w:rsidR="00436AEC" w:rsidRDefault="00436AEC" w:rsidP="00E7596C">
      <w:pPr>
        <w:pStyle w:val="BodyText"/>
      </w:pPr>
    </w:p>
    <w:p w14:paraId="233594BC" w14:textId="552C4511" w:rsidR="00A7546C" w:rsidRDefault="00A7546C" w:rsidP="00E7596C">
      <w:pPr>
        <w:pStyle w:val="BodyText"/>
      </w:pPr>
    </w:p>
    <w:p w14:paraId="38C06AC6" w14:textId="77777777" w:rsidR="00436AEC" w:rsidRDefault="00436AEC" w:rsidP="00E7596C">
      <w:pPr>
        <w:pStyle w:val="BodyText"/>
      </w:pPr>
    </w:p>
    <w:p w14:paraId="1A0C4CC0" w14:textId="77777777" w:rsidR="00067135" w:rsidRDefault="00067135" w:rsidP="00E7596C">
      <w:pPr>
        <w:pStyle w:val="BodyText"/>
      </w:pPr>
    </w:p>
    <w:p w14:paraId="5FD9E178" w14:textId="77777777" w:rsidR="00067135" w:rsidRDefault="00067135" w:rsidP="00E7596C">
      <w:pPr>
        <w:pStyle w:val="BodyText"/>
      </w:pPr>
    </w:p>
    <w:p w14:paraId="081CFB78" w14:textId="3FE4DCB0" w:rsidR="00067135" w:rsidRDefault="00067135" w:rsidP="00E7596C">
      <w:pPr>
        <w:pStyle w:val="BodyText"/>
      </w:pPr>
    </w:p>
    <w:p w14:paraId="0E0275E9" w14:textId="77777777" w:rsidR="00067135" w:rsidRDefault="00067135" w:rsidP="00E7596C">
      <w:pPr>
        <w:pStyle w:val="BodyText"/>
      </w:pPr>
    </w:p>
    <w:p w14:paraId="28D5D1CA" w14:textId="7107032E" w:rsidR="00067135" w:rsidRDefault="00067135" w:rsidP="00E7596C">
      <w:pPr>
        <w:pStyle w:val="BodyText"/>
      </w:pPr>
    </w:p>
    <w:p w14:paraId="360CCBFB" w14:textId="58811158" w:rsidR="00067135" w:rsidRDefault="002330B0" w:rsidP="00E7596C">
      <w:pPr>
        <w:pStyle w:val="BodyText"/>
      </w:pPr>
      <w:r>
        <w:rPr>
          <w:noProof/>
          <w:color w:val="FF0000"/>
        </w:rPr>
        <w:drawing>
          <wp:anchor distT="0" distB="0" distL="114300" distR="114300" simplePos="0" relativeHeight="251671552" behindDoc="0" locked="0" layoutInCell="1" allowOverlap="1" wp14:anchorId="613FFC63" wp14:editId="22CEFF0D">
            <wp:simplePos x="0" y="0"/>
            <wp:positionH relativeFrom="column">
              <wp:posOffset>1489075</wp:posOffset>
            </wp:positionH>
            <wp:positionV relativeFrom="paragraph">
              <wp:posOffset>220055</wp:posOffset>
            </wp:positionV>
            <wp:extent cx="1865449" cy="1551338"/>
            <wp:effectExtent l="0" t="0" r="1905" b="0"/>
            <wp:wrapNone/>
            <wp:docPr id="1596397992" name="Picture 4" descr="A graph with number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5467438" name="Picture 4" descr="A graph with numbers and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65449" cy="1551338"/>
                    </a:xfrm>
                    <a:prstGeom prst="rect">
                      <a:avLst/>
                    </a:prstGeom>
                  </pic:spPr>
                </pic:pic>
              </a:graphicData>
            </a:graphic>
            <wp14:sizeRelH relativeFrom="page">
              <wp14:pctWidth>0%</wp14:pctWidth>
            </wp14:sizeRelH>
            <wp14:sizeRelV relativeFrom="page">
              <wp14:pctHeight>0%</wp14:pctHeight>
            </wp14:sizeRelV>
          </wp:anchor>
        </w:drawing>
      </w:r>
    </w:p>
    <w:p w14:paraId="5019FFCF" w14:textId="6F101EF8" w:rsidR="00067135" w:rsidRDefault="00067135" w:rsidP="00E7596C">
      <w:pPr>
        <w:pStyle w:val="BodyText"/>
      </w:pPr>
    </w:p>
    <w:p w14:paraId="5542DA1A" w14:textId="57DD7992" w:rsidR="00067135" w:rsidRDefault="00067135" w:rsidP="00E7596C">
      <w:pPr>
        <w:pStyle w:val="BodyText"/>
      </w:pPr>
    </w:p>
    <w:p w14:paraId="62FE40C3" w14:textId="4EE3D9BC" w:rsidR="00067135" w:rsidRDefault="00067135" w:rsidP="00E7596C">
      <w:pPr>
        <w:pStyle w:val="BodyText"/>
      </w:pPr>
    </w:p>
    <w:p w14:paraId="696B7E48" w14:textId="0FFBCABE" w:rsidR="00067135" w:rsidRDefault="00067135" w:rsidP="00E7596C">
      <w:pPr>
        <w:pStyle w:val="BodyText"/>
      </w:pPr>
    </w:p>
    <w:p w14:paraId="1B190E46" w14:textId="0AD50F61" w:rsidR="00067135" w:rsidRDefault="00067135" w:rsidP="00E7596C">
      <w:pPr>
        <w:pStyle w:val="BodyText"/>
      </w:pPr>
    </w:p>
    <w:p w14:paraId="40D80790" w14:textId="0E81A027" w:rsidR="002330B0" w:rsidRPr="00F96569" w:rsidRDefault="002330B0" w:rsidP="002330B0">
      <w:pPr>
        <w:jc w:val="both"/>
        <w:rPr>
          <w:color w:val="FF0000"/>
        </w:rPr>
      </w:pPr>
      <w:r>
        <w:rPr>
          <w:noProof/>
          <w:color w:val="FF0000"/>
        </w:rPr>
        <w:drawing>
          <wp:anchor distT="0" distB="0" distL="114300" distR="114300" simplePos="0" relativeHeight="251667456" behindDoc="0" locked="0" layoutInCell="1" allowOverlap="1" wp14:anchorId="3AA6F794" wp14:editId="5557C28A">
            <wp:simplePos x="0" y="0"/>
            <wp:positionH relativeFrom="column">
              <wp:posOffset>5213985</wp:posOffset>
            </wp:positionH>
            <wp:positionV relativeFrom="paragraph">
              <wp:posOffset>-316518</wp:posOffset>
            </wp:positionV>
            <wp:extent cx="1787525" cy="1486535"/>
            <wp:effectExtent l="0" t="0" r="3175" b="0"/>
            <wp:wrapNone/>
            <wp:docPr id="1612409939" name="Picture 4" descr="A graph with number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85467438" name="Picture 4" descr="A graph with numbers and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7525" cy="1486535"/>
                    </a:xfrm>
                    <a:prstGeom prst="rect">
                      <a:avLst/>
                    </a:prstGeom>
                  </pic:spPr>
                </pic:pic>
              </a:graphicData>
            </a:graphic>
            <wp14:sizeRelH relativeFrom="page">
              <wp14:pctWidth>0%</wp14:pctWidth>
            </wp14:sizeRelH>
            <wp14:sizeRelV relativeFrom="page">
              <wp14:pctHeight>0%</wp14:pctHeight>
            </wp14:sizeRelV>
          </wp:anchor>
        </w:drawing>
      </w:r>
    </w:p>
    <w:p w14:paraId="6C8E05BA" w14:textId="5C484A21" w:rsidR="00067135" w:rsidRDefault="00067135" w:rsidP="00067135">
      <w:pPr>
        <w:pStyle w:val="BodyText"/>
        <w:ind w:firstLine="0pt"/>
      </w:pPr>
    </w:p>
    <w:p w14:paraId="54E7EC78" w14:textId="562366E3" w:rsidR="009303D9" w:rsidRDefault="00436AEC" w:rsidP="006B6B66">
      <w:pPr>
        <w:pStyle w:val="Heading1"/>
      </w:pPr>
      <w:r>
        <w:lastRenderedPageBreak/>
        <w:t>Related Work</w:t>
      </w:r>
    </w:p>
    <w:p w14:paraId="513103B1" w14:textId="4EDBA349" w:rsidR="00436AEC" w:rsidRDefault="00E13E62" w:rsidP="00E7596C">
      <w:pPr>
        <w:pStyle w:val="BodyText"/>
      </w:pPr>
      <w:r>
        <w:t>Sentiment analysis of user-</w:t>
      </w:r>
      <w:r w:rsidR="00887637">
        <w:t>generated</w:t>
      </w:r>
      <w:r>
        <w:t xml:space="preserve"> </w:t>
      </w:r>
      <w:r w:rsidR="00887637">
        <w:t>reviews</w:t>
      </w:r>
      <w:r>
        <w:t xml:space="preserve"> has been widely studied in the context of online platforms, particularly for short text such as social media posts and consumer reviews. Lexicon-based sentiment approaches remain popular in applied data mining because they are interpretable and computationally efficient. The VADER </w:t>
      </w:r>
      <w:r w:rsidR="00887637">
        <w:t>sentiment</w:t>
      </w:r>
      <w:r>
        <w:t xml:space="preserve"> model is specifically designed for short text and has been shown to perform </w:t>
      </w:r>
      <w:r w:rsidR="00887637">
        <w:t>competitively</w:t>
      </w:r>
      <w:r>
        <w:t xml:space="preserve"> on social media and review-style data, making it suitable for large-scale analysis of Airbnb reviews [1]. While polarity-based sentiment provides a useful summary of overall opinion, prior work has shown </w:t>
      </w:r>
      <w:r w:rsidR="005B4B96">
        <w:t xml:space="preserve">that higher-dimensional emotional representations can better capture subjective experiences. Emotion lexicon that associate words with discrete emotional categories such as joy, trust, fear, and sadness enable more nuanced characterization of affective content and have been successfully applied in multiple text mining domains [2]. </w:t>
      </w:r>
    </w:p>
    <w:p w14:paraId="7BA54361" w14:textId="69C2B82E" w:rsidR="005B4B96" w:rsidRDefault="005B4B96" w:rsidP="00E7596C">
      <w:pPr>
        <w:pStyle w:val="BodyText"/>
      </w:pPr>
      <w:r>
        <w:t xml:space="preserve">Airbnb has emerged as a common application domain for data mining and urban analytics due to the availability of large-scale, publicly accessible datasets. The inside Airbnb project provides </w:t>
      </w:r>
      <w:r w:rsidR="00887637">
        <w:t>standardized</w:t>
      </w:r>
      <w:r>
        <w:t xml:space="preserve"> listings, reviews, and calendar data for cities worldwide, supporting reproducible cross-city analysis and comparative studies [3]. Prior research using Airbnb data has examined pricing </w:t>
      </w:r>
      <w:r w:rsidR="00887637">
        <w:t>dynamics</w:t>
      </w:r>
      <w:r>
        <w:t>, availability patterns, and geographic variation. However, relatively less work has focused on aggregating review-level sentiment into city-level representation for comparative anal</w:t>
      </w:r>
      <w:r w:rsidR="00887637">
        <w:t>y</w:t>
      </w:r>
      <w:r>
        <w:t xml:space="preserve">sis across specific temporal contexts such as holidays. </w:t>
      </w:r>
    </w:p>
    <w:p w14:paraId="6DD81850" w14:textId="7DAB7E91" w:rsidR="005B4B96" w:rsidRDefault="005B4B96" w:rsidP="00E7596C">
      <w:pPr>
        <w:pStyle w:val="BodyText"/>
      </w:pPr>
      <w:r>
        <w:t xml:space="preserve">For descriptive analysis without labeled outcomes, clustering remains a fundamental unsupervised learning approach. K-means clustering is frequently used as a baseline due to its simplicity, scalability, and interpretability when the number of entities is modest, such as city-level aggregates [4]. Because unsupervised learning lacks real truth labels, internal validation metrics are employed to assess clustering quality. The silhouette coefficient measures how well instances fit within their </w:t>
      </w:r>
      <w:r w:rsidR="00887637">
        <w:t>assigned</w:t>
      </w:r>
      <w:r>
        <w:t xml:space="preserve"> clusters compared to neighboring clusters an dis </w:t>
      </w:r>
      <w:r w:rsidR="00887637">
        <w:t>widely</w:t>
      </w:r>
      <w:r>
        <w:t xml:space="preserve"> used to guide selection of the number of clusters [5]. Complementary to silhouette, the Davies-Bouldin index evaluates clustering quality by </w:t>
      </w:r>
      <w:r w:rsidR="00887637">
        <w:t>quantifying</w:t>
      </w:r>
      <w:r>
        <w:t xml:space="preserve"> average similarity between clusters, with lower values indicating better </w:t>
      </w:r>
      <w:r w:rsidR="00887637">
        <w:t>separation</w:t>
      </w:r>
      <w:r>
        <w:t xml:space="preserve"> and compactness [6]. Using multiple internal metrics provides a more robust </w:t>
      </w:r>
      <w:r w:rsidR="00887637">
        <w:t>assessment</w:t>
      </w:r>
      <w:r>
        <w:t xml:space="preserve"> of clustering structure in </w:t>
      </w:r>
      <w:r w:rsidR="00887637">
        <w:t xml:space="preserve">exploratory </w:t>
      </w:r>
      <w:r>
        <w:t xml:space="preserve">data mining settings. </w:t>
      </w:r>
    </w:p>
    <w:p w14:paraId="55E6B1F0" w14:textId="397B69F4" w:rsidR="00436AEC" w:rsidRDefault="005B4B96" w:rsidP="0059738A">
      <w:pPr>
        <w:pStyle w:val="BodyText"/>
      </w:pPr>
      <w:r>
        <w:t xml:space="preserve">High-dimensional feature spaces often complicate interpretation of clustering results. Dimensionality reduction </w:t>
      </w:r>
      <w:r w:rsidR="00887637">
        <w:t>techniques</w:t>
      </w:r>
      <w:r>
        <w:t xml:space="preserve"> such as </w:t>
      </w:r>
      <w:r w:rsidR="00887637">
        <w:t>Principal</w:t>
      </w:r>
      <w:r>
        <w:t xml:space="preserve"> Component Analysis (PCA) are frequently used to project clustered data into two </w:t>
      </w:r>
      <w:r w:rsidR="00887637">
        <w:t>dimensions</w:t>
      </w:r>
      <w:r>
        <w:t xml:space="preserve"> for visualization and interpretability, even when PCA is not used directly for clustering [7]. PCA enables </w:t>
      </w:r>
      <w:r w:rsidR="00887637">
        <w:t>qualitative</w:t>
      </w:r>
      <w:r>
        <w:t xml:space="preserve"> </w:t>
      </w:r>
      <w:r w:rsidR="00887637">
        <w:t>assessment</w:t>
      </w:r>
      <w:r>
        <w:t xml:space="preserve"> of cluster </w:t>
      </w:r>
      <w:r w:rsidR="00887637">
        <w:t>separation</w:t>
      </w:r>
      <w:r>
        <w:t xml:space="preserve"> and supports communication of results to non-technical audiences. Finally, scikit-learn provides </w:t>
      </w:r>
      <w:r w:rsidR="00887637">
        <w:t>standardized</w:t>
      </w:r>
      <w:r w:rsidR="0059738A">
        <w:t xml:space="preserve"> implementations of preprocessing, clustering, dimensionality reductions, and evaluation metrics, </w:t>
      </w:r>
      <w:r w:rsidR="00887637">
        <w:t>facilitating</w:t>
      </w:r>
      <w:r w:rsidR="0059738A">
        <w:t xml:space="preserve"> </w:t>
      </w:r>
      <w:r w:rsidR="00887637">
        <w:t>reproducible</w:t>
      </w:r>
      <w:r w:rsidR="0059738A">
        <w:t xml:space="preserve"> experimentation and consistent methodological choices in applied data mining research [8].</w:t>
      </w:r>
    </w:p>
    <w:p w14:paraId="0F91C235" w14:textId="21B84923" w:rsidR="00436AEC" w:rsidRDefault="000A6137" w:rsidP="000A6137">
      <w:pPr>
        <w:pStyle w:val="Heading1"/>
      </w:pPr>
      <w:r>
        <w:t>Conclusion</w:t>
      </w:r>
    </w:p>
    <w:p w14:paraId="091B5C54" w14:textId="0B1C99C0" w:rsidR="000A6137" w:rsidRDefault="000A6137" w:rsidP="00E46529">
      <w:pPr>
        <w:ind w:firstLine="36pt"/>
        <w:jc w:val="both"/>
      </w:pPr>
      <w:r>
        <w:t>This study explored whe</w:t>
      </w:r>
      <w:r w:rsidR="00887637">
        <w:t>t</w:t>
      </w:r>
      <w:r>
        <w:t xml:space="preserve">her holiday-specific Airbnb experiences across major global cities exhibit systematic patterns when analyzed through sentiment, emotional tone, and market features. By applying unsupervised clustering to city-level holiday aggregates, the analysis revealed a consistent two-cluster structure across five major holidays. These clusters </w:t>
      </w:r>
      <w:r w:rsidR="00887637">
        <w:t>correspond</w:t>
      </w:r>
      <w:r>
        <w:t xml:space="preserve"> to distinct experiential profiles rather than just simple sentiment rankings, with one cluster characterized by higher emotional intensity, stronger positive sentiment and more premium market conditions. </w:t>
      </w:r>
    </w:p>
    <w:p w14:paraId="28A683D8" w14:textId="5C817F70" w:rsidR="000A6137" w:rsidRDefault="000A6137" w:rsidP="000A6137">
      <w:pPr>
        <w:ind w:firstLine="36pt"/>
        <w:jc w:val="both"/>
      </w:pPr>
      <w:r>
        <w:t xml:space="preserve">Using Christmas as a representative case, the analysis demonstrated that cities can be meaningfully grouped into holiday experience types that </w:t>
      </w:r>
      <w:r w:rsidR="00887637">
        <w:t>align</w:t>
      </w:r>
      <w:r>
        <w:t xml:space="preserve"> with both guest </w:t>
      </w:r>
      <w:r w:rsidR="00887637">
        <w:t>sentiment</w:t>
      </w:r>
      <w:r>
        <w:t xml:space="preserve"> and market behavior. Importantly, similar patterns were observed for Easter, Halloween, New Year’s, and Valentine’s Day, suggesting that these experience types are stable and recurring rather than holiday-</w:t>
      </w:r>
      <w:r w:rsidR="00887637">
        <w:t>specific</w:t>
      </w:r>
      <w:r>
        <w:t xml:space="preserve"> anomalies.</w:t>
      </w:r>
    </w:p>
    <w:p w14:paraId="2FDEAA3E" w14:textId="1E0CDE2D" w:rsidR="00E46529" w:rsidRDefault="000A6137" w:rsidP="00E46529">
      <w:pPr>
        <w:pStyle w:val="BodyText"/>
      </w:pPr>
      <w:r>
        <w:t xml:space="preserve">Some limitations should be acknowledged. First, the number of cities per holiday is relatively small, which constrains </w:t>
      </w:r>
      <w:r w:rsidR="00887637">
        <w:t>separation</w:t>
      </w:r>
      <w:r w:rsidR="00E46529">
        <w:t xml:space="preserve"> measured by internal validation metrics such as silhouette score. Secondly, aggregating reviews at the city level necessarily </w:t>
      </w:r>
      <w:r w:rsidR="00887637">
        <w:t>differs</w:t>
      </w:r>
      <w:r w:rsidR="00E46529">
        <w:t xml:space="preserve"> within city variation among neighborhoods and individual listings. Future work could address these by expanding geographic scope to include additional cities, or </w:t>
      </w:r>
      <w:r w:rsidR="00887637">
        <w:t>preforming</w:t>
      </w:r>
      <w:r w:rsidR="00E46529">
        <w:t xml:space="preserve"> clustering at finer detailed city views, such as neighborhoods in cities. </w:t>
      </w:r>
    </w:p>
    <w:p w14:paraId="197A73C2" w14:textId="53966F90" w:rsidR="00436AEC" w:rsidRDefault="00E46529" w:rsidP="002C7C94">
      <w:pPr>
        <w:pStyle w:val="BodyText"/>
      </w:pPr>
      <w:r>
        <w:t xml:space="preserve">Overall, this work demonstrates that combining sentiment analysis with market features provides a viable </w:t>
      </w:r>
      <w:r w:rsidR="002330B0">
        <w:t>system</w:t>
      </w:r>
      <w:r>
        <w:t xml:space="preserve"> for uncovering latent experiential pattens in large-scale traveling data.</w:t>
      </w:r>
      <w:r w:rsidR="002330B0">
        <w:t xml:space="preserve"> </w:t>
      </w:r>
    </w:p>
    <w:p w14:paraId="492331B5" w14:textId="20EE4491" w:rsidR="00C66FE9" w:rsidRPr="00C66FE9" w:rsidRDefault="009303D9" w:rsidP="0059738A">
      <w:pPr>
        <w:pStyle w:val="Heading5"/>
      </w:pPr>
      <w:r w:rsidRPr="005B520E">
        <w:t>References</w:t>
      </w:r>
    </w:p>
    <w:p w14:paraId="44C23FE0" w14:textId="1E2A86AC" w:rsidR="00C66FE9" w:rsidRPr="00C66FE9" w:rsidRDefault="00C66FE9" w:rsidP="00C66FE9">
      <w:pPr>
        <w:pStyle w:val="references"/>
      </w:pPr>
      <w:r w:rsidRPr="00C66FE9">
        <w:t>C. Hutto and E. Gilbert, “VADER: a Parsimonious Rule-Based Model for Sentiment Analysis of Social Media Text,” </w:t>
      </w:r>
      <w:r w:rsidRPr="00C66FE9">
        <w:rPr>
          <w:i/>
          <w:iCs/>
        </w:rPr>
        <w:t>Proceedings of the International AAAI Conference on Web and Social Media</w:t>
      </w:r>
      <w:r w:rsidRPr="00C66FE9">
        <w:t>, vol. 8, no. 1, May 2014, doi: https://doi.org/10.1609/icwsm.v8i1.14550.</w:t>
      </w:r>
    </w:p>
    <w:p w14:paraId="5138797C" w14:textId="00272439" w:rsidR="00C66FE9" w:rsidRPr="00C66FE9" w:rsidRDefault="00C66FE9" w:rsidP="00C66FE9">
      <w:pPr>
        <w:pStyle w:val="references"/>
      </w:pPr>
      <w:r w:rsidRPr="00C66FE9">
        <w:t>S. M. Mohammad and P. D. Turney, “Crowdsourcing a Word-Emotion Association Lexicon,” </w:t>
      </w:r>
      <w:r w:rsidRPr="00C66FE9">
        <w:rPr>
          <w:i/>
          <w:iCs/>
        </w:rPr>
        <w:t>arXiv:1308.6297 [cs]</w:t>
      </w:r>
      <w:r w:rsidRPr="00C66FE9">
        <w:t>, Aug. 2013, Available: https://arxiv.org/abs/1308.6297</w:t>
      </w:r>
    </w:p>
    <w:p w14:paraId="4E6187DE" w14:textId="2F150E41" w:rsidR="00C66FE9" w:rsidRPr="00C66FE9" w:rsidRDefault="00C66FE9" w:rsidP="00C66FE9">
      <w:pPr>
        <w:pStyle w:val="references"/>
      </w:pPr>
      <w:r w:rsidRPr="00C66FE9">
        <w:t>Inside Airbnb, “Get the Data,” </w:t>
      </w:r>
      <w:r w:rsidRPr="00C66FE9">
        <w:rPr>
          <w:i/>
          <w:iCs/>
        </w:rPr>
        <w:t>insideairbnb.com</w:t>
      </w:r>
      <w:r w:rsidRPr="00C66FE9">
        <w:t>,</w:t>
      </w:r>
      <w:r w:rsidR="0059738A">
        <w:t xml:space="preserve"> </w:t>
      </w:r>
      <w:r w:rsidRPr="00C66FE9">
        <w:t>2024. https://insideairbnb.com/get-the-data/</w:t>
      </w:r>
    </w:p>
    <w:p w14:paraId="189051E4" w14:textId="5C557114" w:rsidR="00C66FE9" w:rsidRPr="00C66FE9" w:rsidRDefault="00C66FE9" w:rsidP="00C66FE9">
      <w:pPr>
        <w:pStyle w:val="references"/>
      </w:pPr>
      <w:r w:rsidRPr="00C66FE9">
        <w:t>J. MacQueen, “Some methods for classification and analysis of multivariate observations,” </w:t>
      </w:r>
      <w:r w:rsidRPr="00C66FE9">
        <w:rPr>
          <w:i/>
          <w:iCs/>
        </w:rPr>
        <w:t>Proceedings of the Fifth Berkeley Symposium on Mathematical Statistics and Probability, Volume 1: Statistics</w:t>
      </w:r>
      <w:r w:rsidRPr="00C66FE9">
        <w:t>, vol. 5.1, pp.281–298,</w:t>
      </w:r>
      <w:r w:rsidR="0059738A">
        <w:t xml:space="preserve"> </w:t>
      </w:r>
      <w:r w:rsidRPr="00C66FE9">
        <w:t>Jan. 1967, Available: https://projecteuclid.org/ebooks/berkeley-symposium-on-mathematical-statistics-and-probability/Proceedings-of-the-Fifth-Berkeley-Symposium-on-Mathematical-Statistics-and/chapter/Some-methods-for-classification-and-analysis-of-multivariate-observations/bsmsp/1200512992</w:t>
      </w:r>
    </w:p>
    <w:p w14:paraId="73A24B60" w14:textId="77777777" w:rsidR="00C66FE9" w:rsidRPr="00C66FE9" w:rsidRDefault="00C66FE9" w:rsidP="00C66FE9">
      <w:pPr>
        <w:pStyle w:val="references"/>
      </w:pPr>
      <w:r w:rsidRPr="00C66FE9">
        <w:t>P. J. Rousseeuw, “Silhouettes: a Graphical Aid to the Interpretation and Validation of Cluster Analysis,” </w:t>
      </w:r>
      <w:r w:rsidRPr="00C66FE9">
        <w:rPr>
          <w:i/>
          <w:iCs/>
        </w:rPr>
        <w:t>Journal of Computational and Applied Mathematics</w:t>
      </w:r>
      <w:r w:rsidRPr="00C66FE9">
        <w:t>, vol. 20, no. 0377–0427, pp. 53–65, Nov. 1987, doi: https://doi.org/10.1016/0377-0427(87)90125-7.</w:t>
      </w:r>
    </w:p>
    <w:p w14:paraId="18B6A4E7" w14:textId="20FF45F0" w:rsidR="0059738A" w:rsidRPr="0059738A" w:rsidRDefault="00C66FE9" w:rsidP="0059738A">
      <w:pPr>
        <w:pStyle w:val="references"/>
      </w:pPr>
      <w:r w:rsidRPr="00C66FE9">
        <w:t>‌</w:t>
      </w:r>
      <w:r w:rsidR="0059738A" w:rsidRPr="0059738A">
        <w:t>“2.3.Clustering,” </w:t>
      </w:r>
      <w:r w:rsidR="0059738A" w:rsidRPr="0059738A">
        <w:rPr>
          <w:i/>
          <w:iCs/>
        </w:rPr>
        <w:t>scikit-learn</w:t>
      </w:r>
      <w:r w:rsidR="0059738A" w:rsidRPr="0059738A">
        <w:t>.https://scikit-learn.org/stable/modules/clustering.html#davies-bouldin-index</w:t>
      </w:r>
    </w:p>
    <w:p w14:paraId="3C40E04D" w14:textId="13A45AB6" w:rsidR="0059738A" w:rsidRPr="0059738A" w:rsidRDefault="0059738A" w:rsidP="0059738A">
      <w:pPr>
        <w:pStyle w:val="references"/>
      </w:pPr>
      <w:r w:rsidRPr="0059738A">
        <w:t>‌J. Shlens, “A Tutorial on Principal Component Analysis,” Dec. 2005. Available: https://www.cs.cmu.edu/~elaw/papers/pca.pdf</w:t>
      </w:r>
    </w:p>
    <w:p w14:paraId="2A5DE92A" w14:textId="235A9916" w:rsidR="00E46529" w:rsidRPr="0062506C" w:rsidRDefault="0059738A" w:rsidP="00887637">
      <w:pPr>
        <w:pStyle w:val="references"/>
        <w:sectPr w:rsidR="00E46529" w:rsidRPr="0062506C" w:rsidSect="00C919A4">
          <w:type w:val="continuous"/>
          <w:pgSz w:w="612pt" w:h="792pt" w:code="1"/>
          <w:pgMar w:top="54pt" w:right="45.35pt" w:bottom="72pt" w:left="45.35pt" w:header="36pt" w:footer="36pt" w:gutter="0pt"/>
          <w:cols w:num="2" w:space="18pt"/>
          <w:docGrid w:linePitch="360"/>
        </w:sectPr>
      </w:pPr>
      <w:r w:rsidRPr="0059738A">
        <w:t>‌F. Pedregosa </w:t>
      </w:r>
      <w:r w:rsidRPr="0059738A">
        <w:rPr>
          <w:i/>
          <w:iCs/>
        </w:rPr>
        <w:t>et al.</w:t>
      </w:r>
      <w:r w:rsidRPr="0059738A">
        <w:t>, “Scikit-learn: Machine Learning in Python,” </w:t>
      </w:r>
      <w:r w:rsidRPr="0059738A">
        <w:rPr>
          <w:i/>
          <w:iCs/>
        </w:rPr>
        <w:t>Journal of Machine Learning Research</w:t>
      </w:r>
      <w:r w:rsidRPr="0059738A">
        <w:t>, vol. 12, no. 85, pp. 2825–2830, 2011, Available: https://jmlr.org/papers/v12/pedregosa11a.htm</w:t>
      </w:r>
      <w:r w:rsidR="006D03C4">
        <w:t>l</w:t>
      </w:r>
    </w:p>
    <w:p w14:paraId="6FC6C90C" w14:textId="2B281C55" w:rsidR="009303D9" w:rsidRPr="00F96569" w:rsidRDefault="009303D9" w:rsidP="00067135">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22BBC00" w14:textId="77777777" w:rsidR="003E584B" w:rsidRDefault="003E584B" w:rsidP="001A3B3D">
      <w:r>
        <w:separator/>
      </w:r>
    </w:p>
  </w:endnote>
  <w:endnote w:type="continuationSeparator" w:id="0">
    <w:p w14:paraId="582AE68B" w14:textId="77777777" w:rsidR="003E584B" w:rsidRDefault="003E584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1ABBD45A" w:rsidR="001A3B3D" w:rsidRPr="006F6D3D" w:rsidRDefault="001A3B3D" w:rsidP="0056610F">
    <w:pPr>
      <w:pStyle w:val="Footer"/>
      <w:jc w:val="start"/>
      <w:rPr>
        <w:sz w:val="16"/>
        <w:szCs w:val="16"/>
      </w:rPr>
    </w:pPr>
  </w:p>
  <w:p w14:paraId="10B73D22" w14:textId="77777777" w:rsidR="001C5AB1" w:rsidRDefault="001C5AB1" w:rsidP="001C5AB1">
    <w:pP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CBDF3B5" w14:textId="77777777" w:rsidR="003E584B" w:rsidRDefault="003E584B" w:rsidP="001A3B3D">
      <w:r>
        <w:separator/>
      </w:r>
    </w:p>
  </w:footnote>
  <w:footnote w:type="continuationSeparator" w:id="0">
    <w:p w14:paraId="56CA23AF" w14:textId="77777777" w:rsidR="003E584B" w:rsidRDefault="003E584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1147CA"/>
    <w:multiLevelType w:val="hybridMultilevel"/>
    <w:tmpl w:val="538C79BE"/>
    <w:lvl w:ilvl="0" w:tplc="B01CB61E">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2" w15:restartNumberingAfterBreak="0">
    <w:nsid w:val="1C441DA5"/>
    <w:multiLevelType w:val="hybridMultilevel"/>
    <w:tmpl w:val="EE328BEC"/>
    <w:lvl w:ilvl="0" w:tplc="9774CBC6">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CB507FA"/>
    <w:multiLevelType w:val="hybridMultilevel"/>
    <w:tmpl w:val="118A4D2E"/>
    <w:lvl w:ilvl="0" w:tplc="8252FB66">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2"/>
  </w:num>
  <w:num w:numId="3" w16cid:durableId="539585121">
    <w:abstractNumId w:val="15"/>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1"/>
  </w:num>
  <w:num w:numId="9" w16cid:durableId="1364867722">
    <w:abstractNumId w:val="23"/>
  </w:num>
  <w:num w:numId="10" w16cid:durableId="2029989048">
    <w:abstractNumId w:val="17"/>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1"/>
  </w:num>
  <w:num w:numId="26" w16cid:durableId="1503738751">
    <w:abstractNumId w:val="20"/>
  </w:num>
  <w:num w:numId="27" w16cid:durableId="2077967763">
    <w:abstractNumId w:val="11"/>
  </w:num>
  <w:num w:numId="28" w16cid:durableId="1282953219">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7135"/>
    <w:rsid w:val="0008758A"/>
    <w:rsid w:val="000A6137"/>
    <w:rsid w:val="000C1E68"/>
    <w:rsid w:val="000D0FDA"/>
    <w:rsid w:val="00120AD9"/>
    <w:rsid w:val="00122B0B"/>
    <w:rsid w:val="0015079E"/>
    <w:rsid w:val="00156B74"/>
    <w:rsid w:val="001A2C9A"/>
    <w:rsid w:val="001A2EFD"/>
    <w:rsid w:val="001A3B3D"/>
    <w:rsid w:val="001A42EA"/>
    <w:rsid w:val="001B67DC"/>
    <w:rsid w:val="001C5AB1"/>
    <w:rsid w:val="001D7BCF"/>
    <w:rsid w:val="002254A9"/>
    <w:rsid w:val="002330B0"/>
    <w:rsid w:val="00233D97"/>
    <w:rsid w:val="002850E3"/>
    <w:rsid w:val="002A202C"/>
    <w:rsid w:val="002C7C94"/>
    <w:rsid w:val="002D6868"/>
    <w:rsid w:val="003074FB"/>
    <w:rsid w:val="00354FCF"/>
    <w:rsid w:val="003A19E2"/>
    <w:rsid w:val="003E584B"/>
    <w:rsid w:val="00403217"/>
    <w:rsid w:val="00421EC6"/>
    <w:rsid w:val="004325FB"/>
    <w:rsid w:val="00436AEC"/>
    <w:rsid w:val="004432BA"/>
    <w:rsid w:val="0044407E"/>
    <w:rsid w:val="0046520D"/>
    <w:rsid w:val="004D72B5"/>
    <w:rsid w:val="00542D2B"/>
    <w:rsid w:val="00547E73"/>
    <w:rsid w:val="00551B7F"/>
    <w:rsid w:val="0056610F"/>
    <w:rsid w:val="00575BCA"/>
    <w:rsid w:val="0059738A"/>
    <w:rsid w:val="005B0344"/>
    <w:rsid w:val="005B4B96"/>
    <w:rsid w:val="005B520E"/>
    <w:rsid w:val="005D08EB"/>
    <w:rsid w:val="005E2800"/>
    <w:rsid w:val="0062506C"/>
    <w:rsid w:val="00631EE6"/>
    <w:rsid w:val="006347CF"/>
    <w:rsid w:val="00645D22"/>
    <w:rsid w:val="00651A08"/>
    <w:rsid w:val="00654204"/>
    <w:rsid w:val="00665D2B"/>
    <w:rsid w:val="00670434"/>
    <w:rsid w:val="00671371"/>
    <w:rsid w:val="006A47B6"/>
    <w:rsid w:val="006B5949"/>
    <w:rsid w:val="006B6B66"/>
    <w:rsid w:val="006D03C4"/>
    <w:rsid w:val="006F6D3D"/>
    <w:rsid w:val="00704134"/>
    <w:rsid w:val="00715BEA"/>
    <w:rsid w:val="00740EEA"/>
    <w:rsid w:val="00794804"/>
    <w:rsid w:val="007B33F1"/>
    <w:rsid w:val="007C0308"/>
    <w:rsid w:val="007C2FF2"/>
    <w:rsid w:val="007D41D2"/>
    <w:rsid w:val="007D6232"/>
    <w:rsid w:val="007F1F99"/>
    <w:rsid w:val="007F768F"/>
    <w:rsid w:val="0080791D"/>
    <w:rsid w:val="00873603"/>
    <w:rsid w:val="0087385B"/>
    <w:rsid w:val="00887637"/>
    <w:rsid w:val="008A2C7D"/>
    <w:rsid w:val="008C4B23"/>
    <w:rsid w:val="008F6E2C"/>
    <w:rsid w:val="009303D9"/>
    <w:rsid w:val="00933C64"/>
    <w:rsid w:val="00972203"/>
    <w:rsid w:val="009A3BE9"/>
    <w:rsid w:val="00A059B3"/>
    <w:rsid w:val="00A7546C"/>
    <w:rsid w:val="00A83751"/>
    <w:rsid w:val="00AE3409"/>
    <w:rsid w:val="00B11A60"/>
    <w:rsid w:val="00B17254"/>
    <w:rsid w:val="00B22613"/>
    <w:rsid w:val="00B336BA"/>
    <w:rsid w:val="00B83AC6"/>
    <w:rsid w:val="00BA1025"/>
    <w:rsid w:val="00BC3420"/>
    <w:rsid w:val="00BD1234"/>
    <w:rsid w:val="00BE7D3C"/>
    <w:rsid w:val="00BF5FF6"/>
    <w:rsid w:val="00C0207F"/>
    <w:rsid w:val="00C16117"/>
    <w:rsid w:val="00C17586"/>
    <w:rsid w:val="00C3075A"/>
    <w:rsid w:val="00C66FE9"/>
    <w:rsid w:val="00C755B4"/>
    <w:rsid w:val="00C76FFC"/>
    <w:rsid w:val="00C919A4"/>
    <w:rsid w:val="00CA4392"/>
    <w:rsid w:val="00CC393F"/>
    <w:rsid w:val="00D072E1"/>
    <w:rsid w:val="00D13749"/>
    <w:rsid w:val="00D2176E"/>
    <w:rsid w:val="00D632BE"/>
    <w:rsid w:val="00D72D06"/>
    <w:rsid w:val="00D7522C"/>
    <w:rsid w:val="00D7536F"/>
    <w:rsid w:val="00D76668"/>
    <w:rsid w:val="00D9172B"/>
    <w:rsid w:val="00DD293E"/>
    <w:rsid w:val="00E13E62"/>
    <w:rsid w:val="00E46529"/>
    <w:rsid w:val="00E61E12"/>
    <w:rsid w:val="00E7596C"/>
    <w:rsid w:val="00E878F2"/>
    <w:rsid w:val="00ED0149"/>
    <w:rsid w:val="00EF7DE3"/>
    <w:rsid w:val="00F03103"/>
    <w:rsid w:val="00F12284"/>
    <w:rsid w:val="00F271DE"/>
    <w:rsid w:val="00F627DA"/>
    <w:rsid w:val="00F7288F"/>
    <w:rsid w:val="00F847A6"/>
    <w:rsid w:val="00F902AB"/>
    <w:rsid w:val="00F9441B"/>
    <w:rsid w:val="00F9569A"/>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rsid w:val="00F9569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link-annotation-unknown-block-id--1726829325">
    <w:name w:val="link-annotation-unknown-block-id--1726829325"/>
    <w:basedOn w:val="DefaultParagraphFont"/>
    <w:rsid w:val="00E46529"/>
  </w:style>
  <w:style w:type="paragraph" w:styleId="NormalWeb">
    <w:name w:val="Normal (Web)"/>
    <w:basedOn w:val="Normal"/>
    <w:uiPriority w:val="99"/>
    <w:unhideWhenUsed/>
    <w:rsid w:val="00C66FE9"/>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emf"/><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emf"/><Relationship Id="rId5" Type="http://purl.oclc.org/ooxml/officeDocument/relationships/webSettings" Target="webSettings.xml"/><Relationship Id="rId15" Type="http://purl.oclc.org/ooxml/officeDocument/relationships/image" Target="media/image7.emf"/><Relationship Id="rId23" Type="http://purl.oclc.org/ooxml/officeDocument/relationships/theme" Target="theme/theme1.xml"/><Relationship Id="rId10" Type="http://purl.oclc.org/ooxml/officeDocument/relationships/image" Target="media/image2.emf"/><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emf"/><Relationship Id="rId14" Type="http://purl.oclc.org/ooxml/officeDocument/relationships/image" Target="media/image6.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TotalTime>
  <Pages>6</Pages>
  <Words>2950</Words>
  <Characters>16818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Russell, Braum P.</cp:lastModifiedBy>
  <cp:revision>3</cp:revision>
  <dcterms:created xsi:type="dcterms:W3CDTF">2025-12-16T01:35:00Z</dcterms:created>
  <dcterms:modified xsi:type="dcterms:W3CDTF">2025-12-16T01:54:00Z</dcterms:modified>
</cp:coreProperties>
</file>