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rPr>
          <w:rFonts w:ascii="Arial" w:cs="Arial" w:eastAsia="Arial" w:hAnsi="Arial"/>
          <w:b/>
          <w:bCs/>
          <w:color w:val="1F3864"/>
          <w:sz w:val="72"/>
          <w:szCs w:val="72"/>
        </w:rPr>
        <w:t xml:space="preserve">Pelvi</w:t>
      </w:r>
    </w:p>
    <w:p>
      <w:pPr>
        <w:spacing w:after="0" w:before="80"/>
      </w:pPr>
      <w:r>
        <w:rPr>
          <w:rFonts w:ascii="Arial" w:cs="Arial" w:eastAsia="Arial" w:hAnsi="Arial"/>
          <w:color w:val="6B7280"/>
          <w:sz w:val="36"/>
          <w:szCs w:val="36"/>
        </w:rPr>
        <w:t xml:space="preserve">Sistema de Gestão de Clínicas</w:t>
      </w:r>
    </w:p>
    <w:p>
      <w:pPr>
        <w:spacing w:after="0" w:before="400"/>
      </w:pPr>
      <w:r>
        <w:t xml:space="preserve"/>
      </w:r>
    </w:p>
    <w:p>
      <w:pPr>
        <w:pBdr>
          <w:top w:val="single" w:color="2E5FA3" w:sz="12" w:space="0"/>
        </w:pBdr>
        <w:spacing w:after="0" w:before="0"/>
      </w:pPr>
    </w:p>
    <w:p>
      <w:pPr>
        <w:spacing w:after="0" w:before="200"/>
      </w:pPr>
      <w:r>
        <w:t xml:space="preserve"/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2E5FA3"/>
          <w:sz w:val="40"/>
          <w:szCs w:val="40"/>
        </w:rPr>
        <w:t xml:space="preserve">ANÁLISE DE CONFORMIDADE</w:t>
      </w:r>
    </w:p>
    <w:p>
      <w:pPr>
        <w:spacing w:after="0" w:before="80"/>
      </w:pPr>
      <w:r>
        <w:rPr>
          <w:rFonts w:ascii="Arial" w:cs="Arial" w:eastAsia="Arial" w:hAnsi="Arial"/>
          <w:color w:val="374151"/>
          <w:sz w:val="32"/>
          <w:szCs w:val="32"/>
        </w:rPr>
        <w:t xml:space="preserve">Lei Geral de Proteção de Dados Pessoais — LGPD</w:t>
      </w:r>
    </w:p>
    <w:p>
      <w:pPr>
        <w:spacing w:after="0" w:before="80"/>
      </w:pPr>
      <w:r>
        <w:rPr>
          <w:rFonts w:ascii="Arial" w:cs="Arial" w:eastAsia="Arial" w:hAnsi="Arial"/>
          <w:color w:val="6B7280"/>
          <w:sz w:val="26"/>
          <w:szCs w:val="26"/>
        </w:rPr>
        <w:t xml:space="preserve">Lei n.º 13.709/2018</w:t>
      </w:r>
    </w:p>
    <w:p>
      <w:pPr>
        <w:spacing w:after="0" w:before="400"/>
      </w:pPr>
      <w:r>
        <w:t xml:space="preserve"/>
      </w:r>
    </w:p>
    <w:p>
      <w:pPr>
        <w:spacing w:after="0" w:before="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Data de emissão: Maio de 2026</w:t>
      </w:r>
    </w:p>
    <w:p>
      <w:pPr>
        <w:spacing w:after="0" w:before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Versão: 1.0  |  Classificação: Confidencial</w:t>
      </w:r>
    </w:p>
    <w:p>
      <w:pPr>
        <w:spacing w:after="0" w:before="6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A580C" w:sz="3"/>
              <w:left w:val="single" w:color="EA580C" w:sz="8"/>
              <w:bottom w:val="single" w:color="EA580C" w:sz="1"/>
              <w:right w:val="single" w:color="EA580C" w:sz="1"/>
            </w:tcBorders>
            <w:shd w:fill="FFF7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⚠  Aviso Legal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Este documento é uma análise técnica de conformidade e não constitui parecer jurídico. Os achados e recomendações devem ser revisados por advogado especializado em proteção de dados antes de qualquer ação legal ou regulatória. Os requisitos da LGPD podem ser alterados por regulamentação da ANPD; verifique sempre as normas vigentes.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1. Escopo e Metodologia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Esta análise examina o sistema Pelvi (pelvi-ui) — uma plataforma SaaS multi-tenant de gestão de clínicas (fisioterapia, psicologia, medicina) — em relação às obrigações da Lei Geral de Proteção de Dados Pessoais (LGPD, Lei n.º 13.709/2018).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1.1 Fontes analisadas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Schema do banco de dados PostgreSQL (Prisma — backend/prisma/schema.prisma)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Código-fonte do backend NestJS (backend/src/)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Código-fonte do frontend React (frontend/src/)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Configuração de autenticação, cookies e rate limiting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Sistema de logs, sanitização de PII e auditoria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1.2 Bases legais avaliadas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Art. 5.º — Definições (dados pessoais, dados sensíveis, consentimento, etc.)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Art. 6.º — Princípios do tratamento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Arts. 7.º e 11 — Hipóteses de tratamento (dados comuns e sensíveis)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Arts. 17 a 22 — Direitos do titular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Arts. 37 e 38 — Registro e relatório de impacto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Arts. 41 e 42 — Encarregado (DPO) e responsabilidades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Arts. 46 a 51 — Segurança e boas práticas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Arts. 52 a 54 — Sanções administrativas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2. Mapeamento de Dados Pessoais (Data Inventory)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sistema processa dois grupos distintos de titulares: profissionais/funcionários das clínicas (usuários do sistema) e pacientes das clínicas. A tabela abaixo mapeia todos os dados pessoais e sensíveis identificados no schema do banco.</w:t>
      </w:r>
    </w:p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600"/>
        <w:gridCol w:w="1900"/>
        <w:gridCol w:w="2326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Entidade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Dado / Campo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Classificação LGPD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Finalidade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Person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CPF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Pessoal — Identificador único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Autenticação e identificação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Dado nacional de identificação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Person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Pessoal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Personalização e identificação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Person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Pessoal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Comunicação e autenticação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Person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Pessoal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Comunicação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Opcional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Person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passwordHash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Técnico (derivado)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Segurança de acesso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Hash bcrypt — não é dado pessoal per se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Patient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CPF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Pessoal — Identificador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Identificação clínica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Opcional no cadastro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Patient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Pessoal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Identificação clínica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Patient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birthDate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Pessoal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Histórico clínico e análise etária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Patient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 / phone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Pessoal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Comunicação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Opcional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Patient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gender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Pessoal (potencialmente sensível)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Anamnese clínica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Art. 5.º, II — depende do contexto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Patient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Endereço completo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Pessoal — Localização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Cadastro e contato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CEP, logradouro, cidade, estado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Patient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Pessoal — Clínico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Observações do profissional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Pode conter dados sensíveis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Anamnesis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(JSON)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SENSÍVEL — Saúde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Registro clínico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Art. 5.º, II — dado de saúde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PerinealAssessment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(JSON)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SENSÍVEL — Saúde / Vida Sexual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Avaliação pélvica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Art. 5.º, II — máxima sensibilidade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Evolution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SENSÍVEL — Saúde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Evolução clínica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Notas de tratamento em texto livre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FinancialRecord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paymentMethod, amount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Pessoal — Financeiro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Gestão financeira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Vinculado ao paciente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AuditLog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ipAddress, userId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Pessoal — Identificação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Auditoria e segurança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IP pode ser dado pessoal (ANPD)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RefreshToken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tokenHash, expiresAt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Técnico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Segurança de sessão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JTI em hash — não expõe token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Organization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document (CNPJ/CPF)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Pessoal (se CPF) / CNPJ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Identificação do tenant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Profissional autônomo: CPF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C2626" w:sz="3"/>
              <w:left w:val="single" w:color="DC2626" w:sz="8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🔴 Atenção — Dados Sensíveis (Art. 5.º, II LGPD)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 sistema processa dados de saúde (anamnese, evoluções clínicas) e dados relacionados à vida sexual/saúde sexual (Avaliação Perineal). Esses dados exigem base legal específica do Art. 11 da LGPD — em regra, consentimento explícito do titular ou necessidade de tratamento para fins de saúde por profissional habilitado. A ausência de controles específicos para esses dados representa o maior risco regulatório do sistema.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3. Análise de Conformidade — Gap Analysis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26"/>
        <w:gridCol w:w="1800"/>
        <w:gridCol w:w="3800"/>
      </w:tblGrid>
      <w:tr>
        <w:trPr>
          <w:tblHeader/>
        </w:trPr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 LGPD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Detalhamento</w:t>
            </w:r>
          </w:p>
        </w:tc>
      </w:tr>
      <w:tr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Art. 46 — Segurança: autenticação robusta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CONFORME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Senhas com bcrypt (fator 10), cookies httpOnly + Secure + SameSite=Strict, refresh token com rotação e hash SHA-256, rate limiting via Redis (5 req/min no login).</w:t>
            </w:r>
          </w:p>
        </w:tc>
      </w:tr>
      <w:tr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Art. 46 — Segurança: isolamento multi-tenant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CONFORME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Todos os endpoints escopam dados por organizationId extraído do JWT — nunca do cliente. Tenant isolation validada em testes E2E.</w:t>
            </w:r>
          </w:p>
        </w:tc>
      </w:tr>
      <w:tr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Art. 6.º, VII — Segurança: auditoria de operações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CONFORME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AuditInterceptor registra POST/PATCH/PUT/DELETE com userId, organizationId, entidade, IP e timestamp em tabela audit_logs.</w:t>
            </w:r>
          </w:p>
        </w:tc>
      </w:tr>
      <w:tr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Art. 46 — Segurança: sanitização de PII em logs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CONFORME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Módulo sanitize.ts redige CPF, CNPJ, email, telefone, senhas e endereços em todos os logs enviados ao Sentry e ao console.</w:t>
            </w:r>
          </w:p>
        </w:tc>
      </w:tr>
      <w:tr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Art. 6.º — Princípio da necessidade: soft delete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D0E"/>
                <w:sz w:val="18"/>
                <w:szCs w:val="18"/>
              </w:rPr>
              <w:t xml:space="preserve">PARCIAL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Patient e Appointment usam deletedAt (soft delete). Porém Person.remove() apenas seta active=false — o registro continua íntegro no banco. Não há purga automática de dados após período de retenção.</w:t>
            </w:r>
          </w:p>
        </w:tc>
      </w:tr>
      <w:tr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Art. 6.º — Princípio da segurança: rate limiting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CONFORME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ThrottlerGuard global (60 req/min), endpoints de login e troca de senha limitados a 5 req/min por IP via Redis.</w:t>
            </w:r>
          </w:p>
        </w:tc>
      </w:tr>
      <w:tr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Art. 7.º / 11 — Base legal para tratamento de dados sensíveis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NÃO CONFORME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Não há modelo de consentimento no banco de dados nem endpoint para registro/revogação. O sistema coleta dados de saúde sem registrar a base legal utilizada para cada operação.</w:t>
            </w:r>
          </w:p>
        </w:tc>
      </w:tr>
      <w:tr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Arts. 17–20 — Direitos do titular: acesso e portabilidade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NÃO CONFORME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Não existe endpoint de exportação dos dados do titular (portabilidade, Art. 20). Pacientes não têm acesso autônomo aos próprios dados.</w:t>
            </w:r>
          </w:p>
        </w:tc>
      </w:tr>
      <w:tr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Art. 18, IV — Direito à anonimização ou bloqueio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NÃO CONFORME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deleção de pacientes é apenas lógica (deletedAt). Não há rotina de anonimização real dos campos PII após exclusão.</w:t>
            </w:r>
          </w:p>
        </w:tc>
      </w:tr>
      <w:tr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Art. 18, VI — Direito à eliminação de dados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NÃO CONFORME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Não há endpoint para exclusão definitiva (purge) de dados de pacientes, nem política de retenção e eliminação automática.</w:t>
            </w:r>
          </w:p>
        </w:tc>
      </w:tr>
      <w:tr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Art. 23, III / 37 — Registro de atividades de tratamento (ROPA)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NÃO CONFORME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Não há documento ou sistema interno que mapeie bases legais, finalidades, retenção e fluxo de dados por categoria — exigido pelo Art. 37 LGPD.</w:t>
            </w:r>
          </w:p>
        </w:tc>
      </w:tr>
      <w:tr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Arts. 8.º e 9.º — Coleta com consentimento informado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NÃO CONFORME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Não há banner de cookies, política de privacidade acessível, nem mecanismo de aceite de termos de uso no frontend.</w:t>
            </w:r>
          </w:p>
        </w:tc>
      </w:tr>
      <w:tr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Art. 41 — Encarregado pelo Tratamento (DPO)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NÃO CONFORME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Nenhum Encarregado (DPO) foi designado ou divulgado. A LGPD exige indicação mesmo para empresas de pequeno porte que tratem dados de saúde.</w:t>
            </w:r>
          </w:p>
        </w:tc>
      </w:tr>
      <w:tr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Art. 48 — Comunicação de incidentes de segurança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NÃO CONFORME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Não existe procedimento documentado de gestão de incidentes com prazo de notificação à ANPD (Art. 48: "prazo razoável").</w:t>
            </w:r>
          </w:p>
        </w:tc>
      </w:tr>
      <w:tr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Art. 46 — Cabeçalhos de segurança HTTP (Helmet)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NÃO CONFORME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 backend não utiliza o middleware Helmet (NestJS). Cabeçalhos como Content-Security-Policy, X-Frame-Options, HSTS e Referrer-Policy estão ausentes.</w:t>
            </w:r>
          </w:p>
        </w:tc>
      </w:tr>
      <w:tr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Art. 38 — RIPD (Relatório de Impacto à Proteção de Dados)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NÃO CONFORME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 processamento de dados de saúde e avaliação perineal constitui "alto risco" e exige elaboração de RIPD conforme Art. 38.</w:t>
            </w:r>
          </w:p>
        </w:tc>
      </w:tr>
      <w:tr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Art. 46 — Criptografia de dados sensíveis em repouso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NÃO CONFORME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Os campos Anamnesis.data, PerinealAssessment.data e Evolution.description são armazenados em texto claro no PostgreSQL. Dados altamente sensíveis sem criptografia em repouso.</w:t>
            </w:r>
          </w:p>
        </w:tc>
      </w:tr>
      <w:tr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Art. 11 — Base legal específica para dados sensíveis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NÃO CONFORME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Não há metadado indicando qual hipótese do Art. 11 ampara cada registro de anamnese ou avaliação perineal (ex.: "Art. 11, II, a — proteção da saúde, por profissional habilitado").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4. Análise Detalhada por Tema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4.1 Dados Armazenados no Banco de Dados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sistema opera como controlador (Art. 5.º, VI) dos dados das clínicas-clientes e dos dados de pacientes. A arquitetura multi-tenant isola dados por organizationId, o que é positivo para o princípio da finalidade e segurança, mas cada clínica-cliente é co-responsável pelo tratamento dos dados de seus pacientes.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Pontos positivos identificados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Isolamento rigoroso por tenant via JWT — organizationId nunca vem do cliente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Soft delete implementado para Patient e Appointment (deletedAt)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Senhas armazenadas apenas como hash bcrypt, jamais em claro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Tokens de sessão armazenados apenas como hash SHA-256 (tokenHash)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Modelo AuditLog rastreia todas as mutações com IP e userId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Lacunas identificadas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Dados de saúde (Anamnesis.data, PerinealAssessment.data, Evolution.description) armazenados em JSON/texto sem criptografia de campo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Não há campo de base_legal_id ou consent_id vinculando cada registro sensível à sua hipótese do Art. 11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Patient.deletedAt não anonimiza os campos PII — CPF, email, nome e endereço continuam legíveis após "exclusão"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RefreshToken sem TTL de purga automática — registros expirados e revogados acumulam indefinidamente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Ausência de política de retenção de dados: não há rotina que apague AuditLog ou dados após período configurável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4.2 Consentimento, Termos de Uso e Política de Privacidade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LGPD exige que o consentimento seja "manifestação livre, informada e inequívoca" (Art. 5.º, XII). Para dados sensíveis, o Art. 11, I exige consentimento "específico e destacado". A análise do frontend não identificou nenhuma dessas estruturas implementadas.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626"/>
        <w:gridCol w:w="340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Situação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 LGPD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Banner de cookies / rastreamento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NÃO CONFORME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Cookies de sessão httpOnly dispensam banner, mas cookies analíticos (Sentry replay) podem exigir consentimento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Política de Privacidade acessível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NÃO CONFORME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Obrigatória pelo Art. 9.º — o titular deve ser informado antes da coleta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Termos de Uso com aceite registrado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NÃO CONFORME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Falta registro de aceite com timestamp e versão do documento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Consentimento específico para dados de saúde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NÃO CONFORME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Art. 11, I — necessário para anamnese e avaliação perineal. Nenhum mecanismo implementado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Mecanismo de revogação de consentimento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NÃO CONFORME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Art. 8.º, §5.º — titular tem direito de revogar a qualquer momento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Informação sobre finalidade na coleta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NÃO CONFORME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Art. 9.º exige informar finalidade, prazo de retenção e compartilhamento no ato da coleta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Autenticação multi-fator (MFA)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D0E"/>
                <w:sz w:val="18"/>
                <w:szCs w:val="18"/>
              </w:rPr>
              <w:t xml:space="preserve">PARCIAL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Recomendável para sistema de saúde; não implementado. Não é exigência direta da LGPD, mas é boa prática do Art. 46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4.3 Anonimização e Direitos do Titular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LGPD confere ao titular um conjunto de direitos exercíveis a qualquer tempo (Art. 18). O sistema não implementa nenhum canal direto para exercício desses direitos pelo titular.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38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Direito do Titular (Art. 18)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Implementação atual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 / Recomendação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 — Confirmação de existência de tratamento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20"/>
                <w:szCs w:val="20"/>
              </w:rPr>
              <w:t xml:space="preserve">Não implementado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Criar endpoint GET /meus-dados que retorne confirmação e categorias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II — Acesso aos dados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20"/>
                <w:szCs w:val="20"/>
              </w:rPr>
              <w:t xml:space="preserve">Não implementado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Endpoint de exportação completa dos dados do titular em formato legível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III — Correção de dados incompletos/inexatos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54D0E"/>
                <w:sz w:val="20"/>
                <w:szCs w:val="20"/>
              </w:rPr>
              <w:t xml:space="preserve">Parcial (profissionais atualizam dados do paciente)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 titular paciente não tem acesso direto para corrigir seus próprios dados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IV — Anonimização, bloqueio ou eliminação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Soft delete apenas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Implementar anonimização real: substituir PII por hashes/tokens após período de retenção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 — Portabilidade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20"/>
                <w:szCs w:val="20"/>
              </w:rPr>
              <w:t xml:space="preserve">Não implementado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Endpoint de exportação em JSON/CSV estruturado conforme formato interoperável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 — Eliminação após revogação de consentimento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20"/>
                <w:szCs w:val="20"/>
              </w:rPr>
              <w:t xml:space="preserve">Não implementado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Endpoint de exclusão definitiva (hard delete + anonimização residual)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VII — Informação sobre compartilhamento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20"/>
                <w:szCs w:val="20"/>
              </w:rPr>
              <w:t xml:space="preserve">Não implementado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Política de privacidade deve listar todos os subprocessadores (Neon, Sentry, Redis)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VIII — Negativa de consentimento e consequências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20"/>
                <w:szCs w:val="20"/>
              </w:rPr>
              <w:t xml:space="preserve">Não implementado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Interface informando o que ocorre caso o titular não consinta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IX — Revogação do consentimento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20"/>
                <w:szCs w:val="20"/>
              </w:rPr>
              <w:t xml:space="preserve">Não implementado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Botão/fluxo de revogação com processamento dentro do prazo legal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5. Matriz de Riscos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Riscos classificados por Probabilidade × Impacto, considerando sanções do Art. 52 (até 2% do faturamento, limitado a R$ 50 milhões por infração) e danos reputacionais.</w:t>
      </w:r>
    </w:p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1200"/>
        <w:gridCol w:w="1200"/>
        <w:gridCol w:w="2226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Nível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Mitigação principal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Vazamento de dados de saúde (anamnese/avaliação perineal) sem criptografia em repouso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Alta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Crítico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RISCO ALTO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Criptografia de campo (AES-256) nas colunas data dos modelos sensíveis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Notificação de incidente à ANPD fora do prazo por falta de procedimento documentado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Alta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Alto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RISCO ALTO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Criar Plano de Resposta a Incidentes com prazo de 72h para notificação inicial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Exercício de direito do titular sem canal disponível (reclamação à ANPD)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Alta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Alto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RISCO ALTO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Implementar endpoints de acesso, portabilidade e eliminação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Ausência de DPO acarreta multa administrativa independente de incidente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Alta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Alto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RISCO ALTO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Nomear Encarregado e publicar canal de contato (email/formulário)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Tratamento de dados sensíveis sem base legal registrada (Art. 11)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Alta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Alto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RISCO ALTO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Adicionar campo base_legal e consent_id às entidades sensíveis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Ausência de Política de Privacidade e Terms of Use acessíveis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Alta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Médio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DD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18"/>
                <w:szCs w:val="18"/>
              </w:rPr>
              <w:t xml:space="preserve">RISCO MÉDIO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Publicar política detalhada com link no login e no sistema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Dados de pacientes "excluídos" (soft delete) acessíveis por funcionários mal-intencionados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Média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Alto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DD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18"/>
                <w:szCs w:val="18"/>
              </w:rPr>
              <w:t xml:space="preserve">RISCO MÉDIO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Implementar anonimização automática após período de retenção configurável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Cookies de rastreamento do Sentry sem consentimento explícito (Replay 10%)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Média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Médio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DD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18"/>
                <w:szCs w:val="18"/>
              </w:rPr>
              <w:t xml:space="preserve">RISCO MÉDIO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Avaliar necessidade de consentimento para Sentry Replay; implementar banner se aplicável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Cabeçalhos HTTP ausentes (sem Helmet): clickjacking, XSS injection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Média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Médio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DD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18"/>
                <w:szCs w:val="18"/>
              </w:rPr>
              <w:t xml:space="preserve">RISCO MÉDIO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Instalar @nestjs/platform-express + helmet com CSP configurado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RefreshTokens expirados acumulando no banco sem purga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Baixa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Baixo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RISCO BAIXO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Job cron diário: DELETE FROM refresh_tokens WHERE expires_at &lt; NOW()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6. Plano de Ação Recomendado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Recomendações priorizadas em três ondas, com estimativa de esforço de desenvolvimento.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6.1 Onda 1 — Crítico (0 a 30 dias)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C2626" w:sz="3"/>
              <w:left w:val="single" w:color="DC2626" w:sz="8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Justificativa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Itens que representam risco imediato de sanção ou violação grave de direito fundamental do titular.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26"/>
        <w:gridCol w:w="1200"/>
        <w:gridCol w:w="1200"/>
        <w:gridCol w:w="2000"/>
      </w:tblGrid>
      <w:tr>
        <w:trPr>
          <w:tblHeader/>
        </w:trPr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Esforço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Responsável</w:t>
            </w:r>
          </w:p>
        </w:tc>
      </w:tr>
      <w:tr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Nomear Encarregado (DPO) e publicar canal de contato na plataforma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PRIORIDADE ALTA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Baixo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Jurídico / Produto</w:t>
            </w:r>
          </w:p>
        </w:tc>
      </w:tr>
      <w:tr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Elaborar e publicar Política de Privacidade com link acessível no login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PRIORIDADE ALTA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Médio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Jurídico / Frontend</w:t>
            </w:r>
          </w:p>
        </w:tc>
      </w:tr>
      <w:tr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Criar procedimento de resposta a incidentes com prazo de notificação à ANPD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PRIORIDADE ALTA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Baixo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Jurídico / DevOps</w:t>
            </w:r>
          </w:p>
        </w:tc>
      </w:tr>
      <w:tr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Instalar Helmet no backend (CSP, HSTS, X-Frame-Options)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PRIORIDADE ALTA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Baixo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Adicionar campo base_legal e referência de consentimento às entidades Anamnesis, PerinealAssessment e Evolution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PRIORIDADE ALTA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Médio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Backend / DB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6.2 Onda 2 — Alta Prioridade (30 a 90 dias)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A580C" w:sz="3"/>
              <w:left w:val="single" w:color="EA580C" w:sz="8"/>
              <w:bottom w:val="single" w:color="EA580C" w:sz="1"/>
              <w:right w:val="single" w:color="EA580C" w:sz="1"/>
            </w:tcBorders>
            <w:shd w:fill="FFF7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Justificativa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Implementações que garantem os direitos do titular e adequação estrutural ao ciclo de vida dos dados.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26"/>
        <w:gridCol w:w="1200"/>
        <w:gridCol w:w="1200"/>
        <w:gridCol w:w="2000"/>
      </w:tblGrid>
      <w:tr>
        <w:trPr>
          <w:tblHeader/>
        </w:trPr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Esforço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Responsável</w:t>
            </w:r>
          </w:p>
        </w:tc>
      </w:tr>
      <w:tr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Implementar endpoint de portabilidade: GET /api/v1/meus-dados (exportação JSON/CSV)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PRIORIDADE ALTA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Médio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Implementar endpoint de eliminação definitiva com anonimização de PII residual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PRIORIDADE ALTA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Backend / DB</w:t>
            </w:r>
          </w:p>
        </w:tc>
      </w:tr>
      <w:tr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Criar fluxo de consentimento no cadastro de pacientes (captura + registro no banco)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PRIORIDADE ALTA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 / Backend</w:t>
            </w:r>
          </w:p>
        </w:tc>
      </w:tr>
      <w:tr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Implementar anonimização automática de Patient após período de retenção (ex.: 5 anos)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DD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18"/>
                <w:szCs w:val="18"/>
              </w:rPr>
              <w:t xml:space="preserve">PRIORIDADE MÉDIA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Backend / DB</w:t>
            </w:r>
          </w:p>
        </w:tc>
      </w:tr>
      <w:tr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Adicionar job cron de purga de RefreshTokens expirados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DD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18"/>
                <w:szCs w:val="18"/>
              </w:rPr>
              <w:t xml:space="preserve">PRIORIDADE MÉDIA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Baixo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Elaborar Registro de Atividades de Tratamento (ROPA) interno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DD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18"/>
                <w:szCs w:val="18"/>
              </w:rPr>
              <w:t xml:space="preserve">PRIORIDADE MÉDIA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Médio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Jurídico</w:t>
            </w:r>
          </w:p>
        </w:tc>
      </w:tr>
      <w:tr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Publicar Termos de Uso com aceite versionado registrado em banco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DD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18"/>
                <w:szCs w:val="18"/>
              </w:rPr>
              <w:t xml:space="preserve">PRIORIDADE MÉDIA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Médio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 / Backend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6.3 Onda 3 — Médio Prazo (90 a 180 dias)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563EB" w:sz="3"/>
              <w:left w:val="single" w:color="2563EB" w:sz="8"/>
              <w:bottom w:val="single" w:color="2563EB" w:sz="1"/>
              <w:right w:val="single" w:color="2563EB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Justificativa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Fortalecimento técnico e maturidade de conformidade contínua.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26"/>
        <w:gridCol w:w="1200"/>
        <w:gridCol w:w="1200"/>
        <w:gridCol w:w="2000"/>
      </w:tblGrid>
      <w:tr>
        <w:trPr>
          <w:tblHeader/>
        </w:trPr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Esforço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Responsável</w:t>
            </w:r>
          </w:p>
        </w:tc>
      </w:tr>
      <w:tr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Criptografia de campo AES-256 para Anamnesis.data, PerinealAssessment.data e Evolution.description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DD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18"/>
                <w:szCs w:val="18"/>
              </w:rPr>
              <w:t xml:space="preserve">PRIORIDADE MÉDIA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Backend / DB</w:t>
            </w:r>
          </w:p>
        </w:tc>
      </w:tr>
      <w:tr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Elaborar e conduzir RIPD (Relatório de Impacto) para o módulo de saúde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DD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18"/>
                <w:szCs w:val="18"/>
              </w:rPr>
              <w:t xml:space="preserve">PRIORIDADE MÉDIA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Médio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Jurídico / DPO</w:t>
            </w:r>
          </w:p>
        </w:tc>
      </w:tr>
      <w:tr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Avaliar e implementar MFA para usuários ADMIN e PROFESSIONAL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PRIORIDADE BAIXA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Backend / Frontend</w:t>
            </w:r>
          </w:p>
        </w:tc>
      </w:tr>
      <w:tr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Implementar dashboard de consentimentos para gestores de clínica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PRIORIDADE BAIXA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 / Backend</w:t>
            </w:r>
          </w:p>
        </w:tc>
      </w:tr>
      <w:tr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Definir e assinar DPA (Data Processing Agreement) com Neon, Sentry e provedores de cloud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PRIORIDADE BAIXA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Baixo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Jurídico</w:t>
            </w:r>
          </w:p>
        </w:tc>
      </w:tr>
      <w:tr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Treinamento de equipe em LGPD e resposta a incidentes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PRIORIDADE BAIXA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Baixo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Gestão</w:t>
            </w:r>
          </w:p>
        </w:tc>
      </w:tr>
      <w:tr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Revisão anual do ROPA e política de privacidade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PRIORIDADE BAIXA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Baixo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Jurídico / DPO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7. Resumo Executivo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13"/>
        <w:gridCol w:w="3013"/>
        <w:gridCol w:w="3000"/>
      </w:tblGrid>
      <w:tr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6"/>
                <w:szCs w:val="26"/>
              </w:rPr>
              <w:t xml:space="preserve">✅  Conformes</w:t>
            </w:r>
          </w:p>
          <w:p>
            <w:pPr>
              <w:spacing w:after="8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48"/>
                <w:szCs w:val="48"/>
              </w:rPr>
              <w:t xml:space="preserve">6 itens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854D0E"/>
                <w:sz w:val="26"/>
                <w:szCs w:val="26"/>
              </w:rPr>
              <w:t xml:space="preserve">⚠️  Parciais</w:t>
            </w:r>
          </w:p>
          <w:p>
            <w:pPr>
              <w:spacing w:after="8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854D0E"/>
                <w:sz w:val="48"/>
                <w:szCs w:val="48"/>
              </w:rPr>
              <w:t xml:space="preserve">2 itens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6"/>
                <w:szCs w:val="26"/>
              </w:rPr>
              <w:t xml:space="preserve">❌  Não Conformes</w:t>
            </w:r>
          </w:p>
          <w:p>
            <w:pPr>
              <w:spacing w:after="8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48"/>
                <w:szCs w:val="48"/>
              </w:rPr>
              <w:t xml:space="preserve">12 itens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Pelvi possui uma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base técnica de segurança sólida</w:t>
      </w:r>
      <w:r>
        <w:rPr>
          <w:rFonts w:ascii="Arial" w:cs="Arial" w:eastAsia="Arial" w:hAnsi="Arial"/>
          <w:sz w:val="22"/>
          <w:szCs w:val="22"/>
        </w:rPr>
        <w:t xml:space="preserve">: autenticação robusta com bcrypt e cookies httpOnly, isolamento rigoroso de tenant, auditoria de operações e sanitização de PII nos logs. Esses elementos demonstram preocupação genuína com segurança.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Contudo, a plataforma opera em um domínio de </w:t>
      </w:r>
      <w:r>
        <w:rPr>
          <w:rFonts w:ascii="Arial" w:cs="Arial" w:eastAsia="Arial" w:hAnsi="Arial"/>
          <w:b/>
          <w:bCs/>
          <w:color w:val="991B1B"/>
          <w:sz w:val="22"/>
          <w:szCs w:val="22"/>
        </w:rPr>
        <w:t xml:space="preserve">altíssima sensibilidade de dados — saúde e vida sexual</w:t>
      </w:r>
      <w:r>
        <w:rPr>
          <w:rFonts w:ascii="Arial" w:cs="Arial" w:eastAsia="Arial" w:hAnsi="Arial"/>
          <w:sz w:val="22"/>
          <w:szCs w:val="22"/>
        </w:rPr>
        <w:t xml:space="preserve"> — e apresenta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lacunas estruturais críticas de conformidade com a LGPD</w:t>
      </w:r>
      <w:r>
        <w:rPr>
          <w:rFonts w:ascii="Arial" w:cs="Arial" w:eastAsia="Arial" w:hAnsi="Arial"/>
          <w:sz w:val="22"/>
          <w:szCs w:val="22"/>
        </w:rPr>
        <w:t xml:space="preserve">: ausência de base legal documentada para dados sensíveis, nenhum mecanismo de consentimento, inexistência de canal para exercício de direitos do titular, falta de DPO nomeado e ausência de criptografia em repouso para os dados mais críticos.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prioridade imediata deve ser a nomeação do Encarregado (DPO), a publicação da Política de Privacidade e a criação do procedimento de resposta a incidentes — medidas que reduzem o risco regulatório sem exigir grandes mudanças de código. As adequações técnicas (consentimento, portabilidade, criptografia de campo) devem ser incorporadas ao roadmap do produto nas próximas sprints.</w:t>
      </w:r>
    </w:p>
    <w:p>
      <w:pPr>
        <w:spacing w:after="0" w:before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369A1" w:sz="3"/>
              <w:left w:val="single" w:color="0369A1" w:sz="8"/>
              <w:bottom w:val="single" w:color="0369A1" w:sz="1"/>
              <w:right w:val="single" w:color="0369A1" w:sz="1"/>
            </w:tcBorders>
            <w:shd w:fill="F0F9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Referência normativa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Lei n.º 13.709/2018 (LGPD) com redação dada pela Lei n.º 13.853/2019. Disponível em: https://www.planalto.gov.br/ccivil_03/_ato2015-2018/2018/lei/l13709.htm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jc w:val="right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Este documento foi gerado automaticamente por análise técnica do código-fonte.</w:t>
      </w:r>
    </w:p>
    <w:p>
      <w:pPr>
        <w:jc w:val="right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Recomenda-se revisão por profissional jurídico especializado antes de qualquer ação regulatória.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2" w:space="1"/>
      </w:pBdr>
      <w:jc w:val="center"/>
    </w:pPr>
    <w:r>
      <w:rPr>
        <w:rFonts w:ascii="Arial" w:cs="Arial" w:eastAsia="Arial" w:hAnsi="Arial"/>
        <w:color w:val="9CA3AF"/>
        <w:sz w:val="18"/>
        <w:szCs w:val="18"/>
      </w:rPr>
      <w:t xml:space="preserve">Página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CA3AF"/>
        <w:sz w:val="18"/>
        <w:szCs w:val="18"/>
      </w:rPr>
      <w:t xml:space="preserve"> de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3" w:sz="4" w:space="1"/>
      </w:pBdr>
      <w:tabs>
        <w:tab w:val="right" w:pos="8500"/>
      </w:tabs>
    </w:pPr>
    <w:r>
      <w:rPr>
        <w:rFonts w:ascii="Arial" w:cs="Arial" w:eastAsia="Arial" w:hAnsi="Arial"/>
        <w:color w:val="6B7280"/>
        <w:sz w:val="18"/>
        <w:szCs w:val="18"/>
      </w:rPr>
      <w:t xml:space="preserve">Pelvi  —  Análise de Conformidade LGPD</w:t>
    </w:r>
    <w:r>
      <w:rPr>
        <w:rFonts w:ascii="Arial" w:cs="Arial" w:eastAsia="Arial" w:hAnsi="Arial"/>
        <w:color w:val="9CA3AF"/>
        <w:sz w:val="18"/>
        <w:szCs w:val="18"/>
      </w:rPr>
      <w:t xml:space="preserve">	Confidencial  |  Maio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-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5FA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2026-05-24T17:13:58.075Z</dcterms:created>
  <dcterms:modified xsi:type="dcterms:W3CDTF">2026-05-24T17:13:58.075Z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