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DAFN: A Large-Scale Benchmark and Adaptive Temporal Fusion Framework for Tomato Stress Diagnosis in Cold-Region Greenhouses</w:t>
      </w:r>
    </w:p>
    <w:p>
      <w:pPr>
        <w:spacing w:after="80"/>
      </w:pPr>
      <w:r/>
      <w:r>
        <w:rPr>
          <w:b/>
        </w:rPr>
        <w:t>Yu Gong¹\*, Yifei He¹, Xuefeng Zhang¹</w:t>
      </w:r>
      <w:r/>
    </w:p>
    <w:p>
      <w:pPr>
        <w:spacing w:after="80"/>
      </w:pPr>
      <w:r>
        <w:t>¹Heilongjiang Academy of Agricultural Sciences, Harbin, 150086, China</w:t>
      </w:r>
    </w:p>
    <w:p>
      <w:pPr>
        <w:spacing w:after="80"/>
      </w:pPr>
      <w:r>
        <w:t>\*Corresponding author: gongyu6982@163.com</w:t>
      </w:r>
    </w:p>
    <w:p>
      <w:r>
        <w:t>____________________________________________________________</w:t>
      </w:r>
    </w:p>
    <w:p>
      <w:pPr>
        <w:pStyle w:val="Heading2"/>
      </w:pPr>
      <w:r>
        <w:t>Abstract</w:t>
      </w:r>
    </w:p>
    <w:p>
      <w:pPr>
        <w:spacing w:after="80"/>
      </w:pPr>
      <w:r>
        <w:t xml:space="preserve">Cold-region greenhouses face unique challenges for automated stress diagnosis: extreme temperature fluctuations, prolonged low-light periods, and condensation that degrades visual data. Existing studies are limited by small-scale datasets (typically &lt;600 samples), reliance on frozen pretrained features, and neglect of multimodal fusion robustness under visual degradation. This paper presents three contributions. First, we construct </w:t>
      </w:r>
      <w:r>
        <w:rPr>
          <w:b/>
        </w:rPr>
        <w:t>Horti-M3-Large</w:t>
      </w:r>
      <w:r>
        <w:t xml:space="preserve">, the largest known benchmark for cold-region greenhouse stress diagnosis, comprising 9,384 annotated samples from 108 tomato plants across three growing seasons (2023–2025), integrating RGB images, 10 agronomic measurements, and 6 environmental sensor variables. Second, through systematic evaluation we demonstrate that frozen ImageNet features contribute limited discriminative power (DAFN 55.37%, RF 89.25%), while fine-tuning on Horti-M3-Large yields 97.39% validation accuracy, establishing the critical role of dataset scale for domain adaptation. Third, we propose </w:t>
      </w:r>
      <w:r>
        <w:rPr>
          <w:b/>
        </w:rPr>
        <w:t>DAFN-T</w:t>
      </w:r>
      <w:r>
        <w:t>, a lightweight temporal fusion network (~80K parameters, 1.5ms CPU inference) with a novel Modal Reliability Dynamic Scoring (MRDS) mechanism that adaptively weights visual and non-visual modalities based on input quality. Under combined visual degradation (blur + low-light + occlusion), DAFN-T achieves 88.4% accuracy versus 61.3% for the fine-tuned vision-only model (+27.1 pp), demonstrating that the primary value of multimodal fusion is operational robustness rather than peak accuracy. Extensive ablations validate the MRDS, FAM, and temporal components, with FAM dimension 128 providing the best robustness–accuracy trade-off. The dataset, code, and pre-trained models are publicly available to support reproducible research.</w:t>
      </w:r>
    </w:p>
    <w:p>
      <w:pPr>
        <w:spacing w:after="80"/>
      </w:pPr>
      <w:r/>
      <w:r>
        <w:rPr>
          <w:b/>
        </w:rPr>
        <w:t>Keywords:</w:t>
      </w:r>
      <w:r>
        <w:t xml:space="preserve"> Multimodal fusion, stress diagnosis, deep learning, greenhouse, tomato, temporal modeling</w:t>
      </w:r>
    </w:p>
    <w:p>
      <w:r>
        <w:t>____________________________________________________________</w:t>
      </w:r>
    </w:p>
    <w:p>
      <w:pPr>
        <w:pStyle w:val="Heading2"/>
      </w:pPr>
      <w:r>
        <w:t>1. Introduction</w:t>
      </w:r>
    </w:p>
    <w:p>
      <w:pPr>
        <w:spacing w:after="80"/>
      </w:pPr>
      <w:r>
        <w:t>Greenhouse cultivation in cold regions (latitudes &gt;40°N) presents unique challenges for automated crop stress diagnosis. Extreme diurnal temperature fluctuations (often exceeding 20°C), prolonged low-light periods during winter months, and persistent condensation on greenhouse surfaces combine to degrade the quality of visual monitoring data [1, 2]. These conditions render vision-only diagnostic systems unreliable during critical growth periods, motivating the development of multimodal approaches that integrate complementary data sources.</w:t>
      </w:r>
    </w:p>
    <w:p>
      <w:pPr>
        <w:spacing w:after="80"/>
      </w:pPr>
      <w:r>
        <w:t>Recent advances in deep learning have demonstrated remarkable success in plant disease and stress detection from RGB images [3, 4]. However, three critical limitations persist in the current literature:</w:t>
      </w:r>
    </w:p>
    <w:p>
      <w:pPr>
        <w:spacing w:after="80"/>
      </w:pPr>
      <w:r/>
      <w:r>
        <w:rPr>
          <w:b/>
        </w:rPr>
        <w:t>Small-scale datasets.</w:t>
      </w:r>
      <w:r>
        <w:t xml:space="preserve"> Most existing benchmarks for greenhouse stress diagnosis contain fewer than 600 samples, often collected from a single growing season under controlled conditions [5, 6]. These datasets are insufficient for fine-tuning large vision backbones (e.g., ResNet50) and cannot capture the seasonal and environmental variability inherent in real greenhouse production.</w:t>
      </w:r>
    </w:p>
    <w:p>
      <w:pPr>
        <w:spacing w:after="80"/>
      </w:pPr>
      <w:r/>
      <w:r>
        <w:rPr>
          <w:b/>
        </w:rPr>
        <w:t>Reliance on frozen features.</w:t>
      </w:r>
      <w:r>
        <w:t xml:space="preserve"> The dominant paradigm in agricultural deep learning uses ImageNet-pretrained features without domain-specific fine-tuning [7, 8]. While this approach works when visual patterns overlap with ImageNet categories (e.g., late-stage disease lesions), early stress symptoms in greenhouse crops manifest as subtle color shifts and canopy density changes that fall outside ImageNet's learned representation space.</w:t>
      </w:r>
    </w:p>
    <w:p>
      <w:pPr>
        <w:spacing w:after="80"/>
      </w:pPr>
      <w:r/>
      <w:r>
        <w:rPr>
          <w:b/>
        </w:rPr>
        <w:t>Neglect of multimodal robustness.</w:t>
      </w:r>
      <w:r>
        <w:t xml:space="preserve"> Existing fusion frameworks focus on maximizing accuracy under ideal conditions, with little attention to how fusion behaves when one or more modalities are degraded [9, 10]. In practical greenhouse deployment, visual data is the most informative modality under ideal conditions but the most fragile under adverse conditions, while agronomic sensor data is less discriminative individually but highly reliable. A practical fusion framework must adaptively re-weight modalities based on current data quality.</w:t>
      </w:r>
    </w:p>
    <w:p>
      <w:pPr>
        <w:spacing w:after="80"/>
      </w:pPr>
      <w:r>
        <w:t>To address these limitations, we present three contributions:</w:t>
      </w:r>
    </w:p>
    <w:p>
      <w:pPr>
        <w:pStyle w:val="ListNumber"/>
      </w:pPr>
      <w:r/>
      <w:r>
        <w:rPr>
          <w:b/>
        </w:rPr>
        <w:t>Horti-M3-Large</w:t>
      </w:r>
      <w:r>
        <w:t xml:space="preserve"> — The largest known benchmark for cold-region greenhouse stress diagnosis, comprising 9,384 annotated samples from 108 tomato plants across three growing seasons (2023–2025), integrating RGB images, 10 agronomic physiological indices, and 6 environmental sensor variables.</w:t>
      </w:r>
    </w:p>
    <w:p>
      <w:pPr>
        <w:pStyle w:val="ListNumber"/>
      </w:pPr>
      <w:r/>
      <w:r>
        <w:rPr>
          <w:b/>
        </w:rPr>
        <w:t>Systematic scale analysis</w:t>
      </w:r>
      <w:r>
        <w:t xml:space="preserve"> — Through controlled comparison of frozen and fine-tuned visual features, we demonstrate that dataset scale (not architecture) is the primary bottleneck for agricultural deep learning. Frozen ImageNet features achieve only 55.37% in multimodal fusion, while fine-tuning on Horti-M3-Large yields 97.39% validation accuracy. Non-deep baselines (RF 89.25%, SVM 89.20%) significantly outperform frozen-feature deep models.</w:t>
      </w:r>
    </w:p>
    <w:p>
      <w:pPr>
        <w:pStyle w:val="ListNumber"/>
      </w:pPr>
      <w:r/>
      <w:r>
        <w:rPr>
          <w:b/>
        </w:rPr>
        <w:t>DAFN-T framework</w:t>
      </w:r>
      <w:r>
        <w:t xml:space="preserve"> — A lightweight temporal fusion network (~80K parameters, 1.5ms CPU inference) with a Modal Reliability Dynamic Scoring (MRDS) mechanism that adaptively weights visual, agronomic, and sensor modalities based on input quality. Under combined visual degradation simulating greenhouse condensation, DAFN-T achieves 88.4% accuracy versus 61.3% for fine-tuned vision-only (+27.1 pp), demonstrating that the primary value of multimodal fusion is </w:t>
      </w:r>
      <w:r>
        <w:rPr>
          <w:b/>
        </w:rPr>
        <w:t>operational robustness</w:t>
      </w:r>
      <w:r>
        <w:t xml:space="preserve"> rather than peak accuracy.</w:t>
      </w:r>
    </w:p>
    <w:p>
      <w:pPr>
        <w:spacing w:after="80"/>
      </w:pPr>
      <w:r>
        <w:t>The remainder of this paper is organized as follows: Section 2 reviews related work. Section 3 describes the Horti-M3-Large dataset. Section 4 presents the DAFN-T framework. Section 5 reports experimental results. Section 6 discusses findings and implications. Section 7 concludes.</w:t>
      </w:r>
    </w:p>
    <w:p>
      <w:r>
        <w:t>____________________________________________________________</w:t>
      </w:r>
    </w:p>
    <w:p>
      <w:pPr>
        <w:pStyle w:val="Heading2"/>
      </w:pPr>
      <w:r>
        <w:t>2. Related Work</w:t>
      </w:r>
    </w:p>
    <w:p>
      <w:pPr>
        <w:pStyle w:val="Heading3"/>
      </w:pPr>
      <w:r>
        <w:t>2.1 Datasets for Crop Stress Diagnosis</w:t>
      </w:r>
    </w:p>
    <w:p>
      <w:pPr>
        <w:spacing w:after="80"/>
      </w:pPr>
      <w:r>
        <w:t xml:space="preserve">Existing datasets for plant stress diagnosis fall into two categories: field-scale disease datasets (e.g., PlantVillage [5], PlantDoc [6]) and controlled-environment phenotyping datasets [11]. PlantVillage contains over 54,000 images of 14 crop species but was collected under highly controlled lighting and background conditions, limiting its transferability to real greenhouse environments. Greenhouse-specific datasets are typically much smaller: the Tomato Stress Dataset [12] contains 546 samples, and the Cucumber Greenhouse Dataset [13] contains 312 samples. These scales are insufficient for fine-tuning modern vision backbones and cannot capture the temporal and seasonal variability of real production environments. </w:t>
      </w:r>
      <w:r>
        <w:rPr>
          <w:b/>
        </w:rPr>
        <w:t>Horti-M3-Large</w:t>
      </w:r>
      <w:r>
        <w:t xml:space="preserve"> addresses this gap with 9,384 samples spanning three growing seasons.</w:t>
      </w:r>
    </w:p>
    <w:p>
      <w:pPr>
        <w:pStyle w:val="Heading3"/>
      </w:pPr>
      <w:r>
        <w:t>2.2 Multimodal Fusion for Plant Stress Diagnosis</w:t>
      </w:r>
    </w:p>
    <w:p>
      <w:pPr>
        <w:spacing w:after="80"/>
      </w:pPr>
      <w:r>
        <w:t>Multimodal fusion combining visual and non-visual data has shown promise in agricultural applications. Early fusion approaches concatenate heterogeneous features before classification [14], while late fusion combines independent modality predictions [15]. Attention-based fusion methods [16] learn to weigh modalities dynamically but require substantial training data. A common finding is that RGB+multispectral fusion improves accuracy by 5–10% over single-modality baselines [17]. However, existing studies evaluate fusion under ideal conditions only. None systematically examine fusion robustness when a modality is degraded — precisely the scenario most relevant to real greenhouse deployment. Our work fills this gap by analyzing DAFN-T under five visual degradation conditions.</w:t>
      </w:r>
    </w:p>
    <w:p>
      <w:pPr>
        <w:pStyle w:val="Heading3"/>
      </w:pPr>
      <w:r>
        <w:t>2.3 Temporal Modeling for Plant Phenotyping</w:t>
      </w:r>
    </w:p>
    <w:p>
      <w:pPr>
        <w:spacing w:after="80"/>
      </w:pPr>
      <w:r>
        <w:t>Temporal patterns in plant growth and stress response provide important diagnostic information beyond single-timepoint measurements. Recurrent neural networks [18] and temporal convolutional networks [19] have been applied to plant growth time series, and Transformer-based architectures [20] have recently shown promise for sequential phenotyping data. However, these approaches typically model a single modality (e.g., spectral data [21]) and do not address the challenge of fusing asynchronous modalities with different temporal resolutions. DAFN-T uses a lightweight GRU to model 5-day windows of fused multimodal features, capturing temporal stress progression while maintaining low computational overhead.</w:t>
      </w:r>
    </w:p>
    <w:p>
      <w:r>
        <w:t>____________________________________________________________</w:t>
      </w:r>
    </w:p>
    <w:p>
      <w:pPr>
        <w:pStyle w:val="Heading2"/>
      </w:pPr>
      <w:r>
        <w:t>3. Horti-M3-Large: Dataset Construction and Annotation</w:t>
      </w:r>
    </w:p>
    <w:p>
      <w:pPr>
        <w:pStyle w:val="Heading3"/>
      </w:pPr>
      <w:r>
        <w:t>3.1 Collection Site</w:t>
      </w:r>
    </w:p>
    <w:p>
      <w:pPr>
        <w:spacing w:after="80"/>
      </w:pPr>
      <w:r>
        <w:t>Data were collected at the Heilongjiang Agricultural Modernization Demonstration Base (Harbin, China, 45.8°N) across three growing seasons: May–July 2023, April–November 2024, and April–June 2025. The facility is a typical cold-region greenhouse with polyethylene film covering, supplemented heating during winter months, and natural ventilation. Temperature ranges from 5°C (night, winter) to 45°C (day, summer), with relative humidity consistently above 70%.</w:t>
      </w:r>
    </w:p>
    <w:p>
      <w:pPr>
        <w:pStyle w:val="Heading3"/>
      </w:pPr>
      <w:r>
        <w:t>3.2 Data Modalities</w:t>
      </w:r>
    </w:p>
    <w:p>
      <w:pPr>
        <w:spacing w:after="80"/>
      </w:pPr>
      <w:r/>
      <w:r>
        <w:rPr>
          <w:b/>
        </w:rPr>
        <w:t>RGB images.</w:t>
      </w:r>
      <w:r>
        <w:t xml:space="preserve"> Captured using a handheld digital camera (Sony α6000, 24 MP) at a standardized distance of 0.5 m from the canopy top. Images were collected between 09:00–11:00 AM to minimize lighting variation. The dataset contains 9,384 images across 108 individual plants, with each plant photographed at approximately 5-day intervals throughout the growing season. Image resolution is 6000×4000 pixels, stored as JPEG.</w:t>
      </w:r>
    </w:p>
    <w:p>
      <w:pPr>
        <w:spacing w:after="80"/>
      </w:pPr>
      <w:r/>
      <w:r>
        <w:rPr>
          <w:b/>
        </w:rPr>
        <w:t>Agronomic measurements.</w:t>
      </w:r>
      <w:r>
        <w:t xml:space="preserve"> Ten physiological indices were recorded at each observation: Plant Height, Stem Diameter, Leaf Width, Leaf Length, NDVI, RVI, LNC (Leaf Nitrogen Concentration), LNA (Leaf Nitrogen Accumulation), LAI (Leaf Area Index), and LDW (Leaf Dry Weight). Measurements were taken immediately after image capture.</w:t>
      </w:r>
    </w:p>
    <w:p>
      <w:pPr>
        <w:spacing w:after="80"/>
      </w:pPr>
      <w:r/>
      <w:r>
        <w:rPr>
          <w:b/>
        </w:rPr>
        <w:t>Environmental sensors.</w:t>
      </w:r>
      <w:r>
        <w:t xml:space="preserve"> Six variables were logged at 1-hour intervals: Air Temperature, Relative Humidity, Light Intensity, CO₂ Concentration, Soil Moisture, and Soil Temperature. Sensor data corresponding to each observation window were extracted as daily averages.</w:t>
      </w:r>
    </w:p>
    <w:p>
      <w:pPr>
        <w:spacing w:after="80"/>
      </w:pPr>
      <w:r/>
      <w:r>
        <w:rPr>
          <w:b/>
        </w:rPr>
        <w:t>Table 1. Comparison of Horti-M3-Large with existing greenhouse stress datasets.</w:t>
      </w:r>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Dataset</w:t>
            </w:r>
          </w:p>
        </w:tc>
        <w:tc>
          <w:tcPr>
            <w:tcW w:type="dxa" w:w="1234"/>
          </w:tcPr>
          <w:p>
            <w:r>
              <w:rPr>
                <w:b/>
                <w:sz w:val="18"/>
              </w:rPr>
              <w:t>Samples</w:t>
            </w:r>
          </w:p>
        </w:tc>
        <w:tc>
          <w:tcPr>
            <w:tcW w:type="dxa" w:w="1234"/>
          </w:tcPr>
          <w:p>
            <w:r>
              <w:rPr>
                <w:b/>
                <w:sz w:val="18"/>
              </w:rPr>
              <w:t>Plants</w:t>
            </w:r>
          </w:p>
        </w:tc>
        <w:tc>
          <w:tcPr>
            <w:tcW w:type="dxa" w:w="1234"/>
          </w:tcPr>
          <w:p>
            <w:r>
              <w:rPr>
                <w:b/>
                <w:sz w:val="18"/>
              </w:rPr>
              <w:t>Seasons</w:t>
            </w:r>
          </w:p>
        </w:tc>
        <w:tc>
          <w:tcPr>
            <w:tcW w:type="dxa" w:w="1234"/>
          </w:tcPr>
          <w:p>
            <w:r>
              <w:rPr>
                <w:b/>
                <w:sz w:val="18"/>
              </w:rPr>
              <w:t>Modalities</w:t>
            </w:r>
          </w:p>
        </w:tc>
        <w:tc>
          <w:tcPr>
            <w:tcW w:type="dxa" w:w="1234"/>
          </w:tcPr>
          <w:p>
            <w:r>
              <w:rPr>
                <w:b/>
                <w:sz w:val="18"/>
              </w:rPr>
              <w:t>Years</w:t>
            </w:r>
          </w:p>
        </w:tc>
        <w:tc>
          <w:tcPr>
            <w:tcW w:type="dxa" w:w="1234"/>
          </w:tcPr>
          <w:p>
            <w:r>
              <w:rPr>
                <w:b/>
                <w:sz w:val="18"/>
              </w:rPr>
              <w:t>Public</w:t>
            </w:r>
          </w:p>
        </w:tc>
      </w:tr>
      <w:tr>
        <w:tc>
          <w:tcPr>
            <w:tcW w:type="dxa" w:w="1234"/>
          </w:tcPr>
          <w:p>
            <w:r>
              <w:rPr>
                <w:sz w:val="18"/>
              </w:rPr>
              <w:t>Tomato Stress Dataset [12]</w:t>
            </w:r>
          </w:p>
        </w:tc>
        <w:tc>
          <w:tcPr>
            <w:tcW w:type="dxa" w:w="1234"/>
          </w:tcPr>
          <w:p>
            <w:r>
              <w:rPr>
                <w:sz w:val="18"/>
              </w:rPr>
              <w:t>546</w:t>
            </w:r>
          </w:p>
        </w:tc>
        <w:tc>
          <w:tcPr>
            <w:tcW w:type="dxa" w:w="1234"/>
          </w:tcPr>
          <w:p>
            <w:r>
              <w:rPr>
                <w:sz w:val="18"/>
              </w:rPr>
              <w:t>30</w:t>
            </w:r>
          </w:p>
        </w:tc>
        <w:tc>
          <w:tcPr>
            <w:tcW w:type="dxa" w:w="1234"/>
          </w:tcPr>
          <w:p>
            <w:r>
              <w:rPr>
                <w:sz w:val="18"/>
              </w:rPr>
              <w:t>1</w:t>
            </w:r>
          </w:p>
        </w:tc>
        <w:tc>
          <w:tcPr>
            <w:tcW w:type="dxa" w:w="1234"/>
          </w:tcPr>
          <w:p>
            <w:r>
              <w:rPr>
                <w:sz w:val="18"/>
              </w:rPr>
              <w:t>RGB only</w:t>
            </w:r>
          </w:p>
        </w:tc>
        <w:tc>
          <w:tcPr>
            <w:tcW w:type="dxa" w:w="1234"/>
          </w:tcPr>
          <w:p>
            <w:r>
              <w:rPr>
                <w:sz w:val="18"/>
              </w:rPr>
              <w:t>2021</w:t>
            </w:r>
          </w:p>
        </w:tc>
        <w:tc>
          <w:tcPr>
            <w:tcW w:type="dxa" w:w="1234"/>
          </w:tcPr>
          <w:p>
            <w:r>
              <w:rPr>
                <w:sz w:val="18"/>
              </w:rPr>
              <w:t>✓</w:t>
            </w:r>
          </w:p>
        </w:tc>
      </w:tr>
      <w:tr>
        <w:tc>
          <w:tcPr>
            <w:tcW w:type="dxa" w:w="1234"/>
          </w:tcPr>
          <w:p>
            <w:r>
              <w:rPr>
                <w:sz w:val="18"/>
              </w:rPr>
              <w:t>Cucumber Greenhouse [13]</w:t>
            </w:r>
          </w:p>
        </w:tc>
        <w:tc>
          <w:tcPr>
            <w:tcW w:type="dxa" w:w="1234"/>
          </w:tcPr>
          <w:p>
            <w:r>
              <w:rPr>
                <w:sz w:val="18"/>
              </w:rPr>
              <w:t>312</w:t>
            </w:r>
          </w:p>
        </w:tc>
        <w:tc>
          <w:tcPr>
            <w:tcW w:type="dxa" w:w="1234"/>
          </w:tcPr>
          <w:p>
            <w:r>
              <w:rPr>
                <w:sz w:val="18"/>
              </w:rPr>
              <w:t>24</w:t>
            </w:r>
          </w:p>
        </w:tc>
        <w:tc>
          <w:tcPr>
            <w:tcW w:type="dxa" w:w="1234"/>
          </w:tcPr>
          <w:p>
            <w:r>
              <w:rPr>
                <w:sz w:val="18"/>
              </w:rPr>
              <w:t>1</w:t>
            </w:r>
          </w:p>
        </w:tc>
        <w:tc>
          <w:tcPr>
            <w:tcW w:type="dxa" w:w="1234"/>
          </w:tcPr>
          <w:p>
            <w:r>
              <w:rPr>
                <w:sz w:val="18"/>
              </w:rPr>
              <w:t>RGB only</w:t>
            </w:r>
          </w:p>
        </w:tc>
        <w:tc>
          <w:tcPr>
            <w:tcW w:type="dxa" w:w="1234"/>
          </w:tcPr>
          <w:p>
            <w:r>
              <w:rPr>
                <w:sz w:val="18"/>
              </w:rPr>
              <w:t>2022</w:t>
            </w:r>
          </w:p>
        </w:tc>
        <w:tc>
          <w:tcPr>
            <w:tcW w:type="dxa" w:w="1234"/>
          </w:tcPr>
          <w:p>
            <w:r>
              <w:rPr>
                <w:sz w:val="18"/>
              </w:rPr>
              <w:t>✓</w:t>
            </w:r>
          </w:p>
        </w:tc>
      </w:tr>
      <w:tr>
        <w:tc>
          <w:tcPr>
            <w:tcW w:type="dxa" w:w="1234"/>
          </w:tcPr>
          <w:p>
            <w:r>
              <w:rPr>
                <w:sz w:val="18"/>
              </w:rPr>
              <w:t>PlantVillage [5]</w:t>
            </w:r>
          </w:p>
        </w:tc>
        <w:tc>
          <w:tcPr>
            <w:tcW w:type="dxa" w:w="1234"/>
          </w:tcPr>
          <w:p>
            <w:r>
              <w:rPr>
                <w:sz w:val="18"/>
              </w:rPr>
              <w:t>54,309</w:t>
            </w:r>
          </w:p>
        </w:tc>
        <w:tc>
          <w:tcPr>
            <w:tcW w:type="dxa" w:w="1234"/>
          </w:tcPr>
          <w:p>
            <w:r>
              <w:rPr>
                <w:sz w:val="18"/>
              </w:rPr>
              <w:t>—</w:t>
            </w:r>
          </w:p>
        </w:tc>
        <w:tc>
          <w:tcPr>
            <w:tcW w:type="dxa" w:w="1234"/>
          </w:tcPr>
          <w:p>
            <w:r>
              <w:rPr>
                <w:sz w:val="18"/>
              </w:rPr>
              <w:t>—</w:t>
            </w:r>
          </w:p>
        </w:tc>
        <w:tc>
          <w:tcPr>
            <w:tcW w:type="dxa" w:w="1234"/>
          </w:tcPr>
          <w:p>
            <w:r>
              <w:rPr>
                <w:sz w:val="18"/>
              </w:rPr>
              <w:t>RGB only</w:t>
            </w:r>
          </w:p>
        </w:tc>
        <w:tc>
          <w:tcPr>
            <w:tcW w:type="dxa" w:w="1234"/>
          </w:tcPr>
          <w:p>
            <w:r>
              <w:rPr>
                <w:sz w:val="18"/>
              </w:rPr>
              <w:t>2016</w:t>
            </w:r>
          </w:p>
        </w:tc>
        <w:tc>
          <w:tcPr>
            <w:tcW w:type="dxa" w:w="1234"/>
          </w:tcPr>
          <w:p>
            <w:r>
              <w:rPr>
                <w:sz w:val="18"/>
              </w:rPr>
              <w:t>✓</w:t>
            </w:r>
          </w:p>
        </w:tc>
      </w:tr>
      <w:tr>
        <w:tc>
          <w:tcPr>
            <w:tcW w:type="dxa" w:w="1234"/>
          </w:tcPr>
          <w:p>
            <w:r>
              <w:rPr>
                <w:sz w:val="18"/>
              </w:rPr>
              <w:t>PlantDoc [6]</w:t>
            </w:r>
          </w:p>
        </w:tc>
        <w:tc>
          <w:tcPr>
            <w:tcW w:type="dxa" w:w="1234"/>
          </w:tcPr>
          <w:p>
            <w:r>
              <w:rPr>
                <w:sz w:val="18"/>
              </w:rPr>
              <w:t>2,569</w:t>
            </w:r>
          </w:p>
        </w:tc>
        <w:tc>
          <w:tcPr>
            <w:tcW w:type="dxa" w:w="1234"/>
          </w:tcPr>
          <w:p>
            <w:r>
              <w:rPr>
                <w:sz w:val="18"/>
              </w:rPr>
              <w:t>—</w:t>
            </w:r>
          </w:p>
        </w:tc>
        <w:tc>
          <w:tcPr>
            <w:tcW w:type="dxa" w:w="1234"/>
          </w:tcPr>
          <w:p>
            <w:r>
              <w:rPr>
                <w:sz w:val="18"/>
              </w:rPr>
              <w:t>—</w:t>
            </w:r>
          </w:p>
        </w:tc>
        <w:tc>
          <w:tcPr>
            <w:tcW w:type="dxa" w:w="1234"/>
          </w:tcPr>
          <w:p>
            <w:r>
              <w:rPr>
                <w:sz w:val="18"/>
              </w:rPr>
              <w:t>RGB only</w:t>
            </w:r>
          </w:p>
        </w:tc>
        <w:tc>
          <w:tcPr>
            <w:tcW w:type="dxa" w:w="1234"/>
          </w:tcPr>
          <w:p>
            <w:r>
              <w:rPr>
                <w:sz w:val="18"/>
              </w:rPr>
              <w:t>2019</w:t>
            </w:r>
          </w:p>
        </w:tc>
        <w:tc>
          <w:tcPr>
            <w:tcW w:type="dxa" w:w="1234"/>
          </w:tcPr>
          <w:p>
            <w:r>
              <w:rPr>
                <w:sz w:val="18"/>
              </w:rPr>
              <w:t>✓</w:t>
            </w:r>
          </w:p>
        </w:tc>
      </w:tr>
      <w:tr>
        <w:tc>
          <w:tcPr>
            <w:tcW w:type="dxa" w:w="1234"/>
          </w:tcPr>
          <w:p>
            <w:r>
              <w:rPr>
                <w:sz w:val="18"/>
              </w:rPr>
              <w:t>**Horti-M3-Large (ours)**</w:t>
            </w:r>
          </w:p>
        </w:tc>
        <w:tc>
          <w:tcPr>
            <w:tcW w:type="dxa" w:w="1234"/>
          </w:tcPr>
          <w:p>
            <w:r>
              <w:rPr>
                <w:sz w:val="18"/>
              </w:rPr>
              <w:t>**9,384**</w:t>
            </w:r>
          </w:p>
        </w:tc>
        <w:tc>
          <w:tcPr>
            <w:tcW w:type="dxa" w:w="1234"/>
          </w:tcPr>
          <w:p>
            <w:r>
              <w:rPr>
                <w:sz w:val="18"/>
              </w:rPr>
              <w:t>**108**</w:t>
            </w:r>
          </w:p>
        </w:tc>
        <w:tc>
          <w:tcPr>
            <w:tcW w:type="dxa" w:w="1234"/>
          </w:tcPr>
          <w:p>
            <w:r>
              <w:rPr>
                <w:sz w:val="18"/>
              </w:rPr>
              <w:t>**3**</w:t>
            </w:r>
          </w:p>
        </w:tc>
        <w:tc>
          <w:tcPr>
            <w:tcW w:type="dxa" w:w="1234"/>
          </w:tcPr>
          <w:p>
            <w:r>
              <w:rPr>
                <w:sz w:val="18"/>
              </w:rPr>
              <w:t>**RGB + 10 agro + 6 sensor**</w:t>
            </w:r>
          </w:p>
        </w:tc>
        <w:tc>
          <w:tcPr>
            <w:tcW w:type="dxa" w:w="1234"/>
          </w:tcPr>
          <w:p>
            <w:r>
              <w:rPr>
                <w:sz w:val="18"/>
              </w:rPr>
              <w:t>**2023–2025**</w:t>
            </w:r>
          </w:p>
        </w:tc>
        <w:tc>
          <w:tcPr>
            <w:tcW w:type="dxa" w:w="1234"/>
          </w:tcPr>
          <w:p>
            <w:r>
              <w:rPr>
                <w:sz w:val="18"/>
              </w:rPr>
              <w:t>**✓**</w:t>
            </w:r>
          </w:p>
        </w:tc>
      </w:tr>
    </w:tbl>
    <w:p/>
    <w:p>
      <w:pPr>
        <w:pStyle w:val="Heading3"/>
      </w:pPr>
      <w:r>
        <w:t>3.3 Labeling Protocol</w:t>
      </w:r>
    </w:p>
    <w:p>
      <w:pPr>
        <w:spacing w:after="80"/>
      </w:pPr>
      <w:r>
        <w:t xml:space="preserve">Each observation was labeled by two expert agronomists into three categories: </w:t>
      </w:r>
      <w:r>
        <w:rPr>
          <w:b/>
        </w:rPr>
        <w:t>Healthy</w:t>
      </w:r>
      <w:r>
        <w:t xml:space="preserve">, </w:t>
      </w:r>
      <w:r>
        <w:rPr>
          <w:b/>
        </w:rPr>
        <w:t>Stress</w:t>
      </w:r>
      <w:r>
        <w:t xml:space="preserve"> (including disease, pest damage, and nutrient deficiency), and </w:t>
      </w:r>
      <w:r>
        <w:rPr>
          <w:b/>
        </w:rPr>
        <w:t>Other</w:t>
      </w:r>
      <w:r>
        <w:t xml:space="preserve"> (transitional states, indeterminate cases). Stress diagnosis was validated through follow-up laboratory analysis where possible. Inter-annotator agreement (Cohen's κ = 0.87) indicates high labeling consistency. The final dataset contains 5,634 Healthy (60.1%), 3,750 Stress (39.9%), and 264 Other (2.9%) samples after excluding 2023 records (which were used for preliminary pipeline development). For binary classification experiments, Other is merged into the Stress class.</w:t>
      </w:r>
    </w:p>
    <w:p>
      <w:pPr>
        <w:pStyle w:val="Heading3"/>
      </w:pPr>
      <w:r>
        <w:t>3.4 Plant-Wise Split</w:t>
      </w:r>
    </w:p>
    <w:p>
      <w:pPr>
        <w:spacing w:after="80"/>
      </w:pPr>
      <w:r>
        <w:t>To prevent data leakage, we split the dataset at the plant level: 75 plants (7,542 samples) for training and 33 plants (1,842 samples) for validation. No plant appears in both splits. The validation set preserves the class distribution of the full dataset (Healthy:Stress ≈ 60:40).</w:t>
      </w:r>
    </w:p>
    <w:p>
      <w:r>
        <w:t>____________________________________________________________</w:t>
      </w:r>
    </w:p>
    <w:p>
      <w:pPr>
        <w:pStyle w:val="Heading2"/>
      </w:pPr>
      <w:r>
        <w:t>4. DAFN-T: Robustness-Oriented Temporal Fusion</w:t>
      </w:r>
    </w:p>
    <w:p>
      <w:pPr>
        <w:pStyle w:val="Heading3"/>
      </w:pPr>
      <w:r>
        <w:t>4.1 Design Philosophy</w:t>
      </w:r>
    </w:p>
    <w:p>
      <w:pPr>
        <w:spacing w:after="80"/>
      </w:pPr>
      <w:r>
        <w:t xml:space="preserve">The DAFN-T architecture is motivated by a single observation: in real greenhouse deployment, </w:t>
      </w:r>
      <w:r>
        <w:rPr>
          <w:b/>
        </w:rPr>
        <w:t>the most informative modality under ideal conditions is the most fragile under adverse conditions</w:t>
      </w:r>
      <w:r>
        <w:t>. RGB images provide rich spatial detail when lighting is adequate and optics are clean, but degrade catastrophically under condensation, low light, or occlusion. Agronomic sensor data, in contrast, is less discriminative individually (agronomic-only MLP: 79.53%) but highly reliable under any environmental condition. DAFN-T is designed to (1) learn modality-specific representations at the same dimensionality, (2) dynamically weight modalities based on current data quality, and (3) model temporal stress progression through a lightweight sequence model.</w:t>
      </w:r>
    </w:p>
    <w:p>
      <w:pPr>
        <w:pStyle w:val="Heading3"/>
      </w:pPr>
      <w:r>
        <w:t>4.2 Visual Backbone</w:t>
      </w:r>
    </w:p>
    <w:p>
      <w:pPr>
        <w:spacing w:after="80"/>
      </w:pPr>
      <w:r>
        <w:t>We use ResNet50 [22] as the visual backbone. For frozen-feature experiments, 2048-dimensional features are extracted from the global average pooling layer of ImageNet-pretrained ResNet50. For fine-tuned experiments, the backbone is trained on Horti-M3-Large with the last two residual blocks (layer3, layer4) and the classification head unfrozen, using class-balanced cross-entropy loss and Adam optimizer (lr=1e-4, batch size 32).</w:t>
      </w:r>
    </w:p>
    <w:p>
      <w:pPr>
        <w:pStyle w:val="Heading3"/>
      </w:pPr>
      <w:r>
        <w:t>4.3 Feature Alignment Module (FAM)</w:t>
      </w:r>
    </w:p>
    <w:p>
      <w:pPr>
        <w:spacing w:after="80"/>
      </w:pPr>
      <w:r>
        <w:t>Heterogeneous input modalities operate at different dimensionalities (visual: 2048-D, agronomic: 10-D, sensor: 6-D). FAM projects each modality into a shared $d$-dimensional space:</w:t>
      </w:r>
    </w:p>
    <w:p>
      <w:pPr>
        <w:spacing w:after="80"/>
      </w:pPr>
      <w:r>
        <w:t>$$\mathbf{f}_m = \text{BN}(\mathbf{W}_m \mathbf{x}_m + \mathbf{b}_m), \quad m \in \{\text{vis}, \text{agr}, \text{sen}\}$$</w:t>
      </w:r>
    </w:p>
    <w:p>
      <w:pPr>
        <w:spacing w:after="80"/>
      </w:pPr>
      <w:r>
        <w:t>where $\mathbf{W}_m \in \mathbb{R}^{d \times D_m}$ is a learned projection matrix, BN denotes batch normalization, and $\mathbf{x}_m$ is the $D_m$-dimensional input feature. The shared dimension $d$ (default: 64, ablated as 32 and 128) acts as an information bottleneck that harmonizes modalities while filtering modality-specific noise.</w:t>
      </w:r>
    </w:p>
    <w:p>
      <w:pPr>
        <w:pStyle w:val="Heading3"/>
      </w:pPr>
      <w:r>
        <w:t>4.4 Modal Reliability Dynamic Scoring (MRDS)</w:t>
      </w:r>
    </w:p>
    <w:p>
      <w:pPr>
        <w:spacing w:after="80"/>
      </w:pPr>
      <w:r>
        <w:t>MRDS computes adaptive fusion weights based on the L2 norm (feature energy) of each modality's aligned features:</w:t>
      </w:r>
    </w:p>
    <w:p>
      <w:pPr>
        <w:spacing w:after="80"/>
      </w:pPr>
      <w:r>
        <w:t>$$\mathbf{a} = \big[ \|\mathbf{f}_{\text{vis}}\|_2, \|\mathbf{f}_{\text{agr}}\|_2, \|\mathbf{f}_{\text{sen}}\|_2 \big]^\top$$</w:t>
      </w:r>
    </w:p>
    <w:p>
      <w:pPr>
        <w:spacing w:after="80"/>
      </w:pPr>
      <w:r>
        <w:t>$$\mathbf{w} = \sigma(\mathbf{a}) = \frac{1}{1 + \exp(-\mathbf{a})}$$</w:t>
      </w:r>
    </w:p>
    <w:p>
      <w:pPr>
        <w:spacing w:after="80"/>
      </w:pPr>
      <w:r>
        <w:t>$$\mathbf{f}_{\text{fused}} = \sum_{m} \frac{w_m}{\sum_j w_j} \cdot \mathbf{f}_m$$</w:t>
      </w:r>
    </w:p>
    <w:p>
      <w:pPr>
        <w:spacing w:after="80"/>
      </w:pPr>
      <w:r>
        <w:t>where $\sigma$ is the element-wise sigmoid function, and $\mathbf{f}_{\text{fused}}$ is the weighted combination of aligned features. The L2 norm captures the "energy" or activation strength of each modality's representation: a modality with richer or more discriminative information produces higher-magnitude features, naturally receiving greater weight in the fusion. Under visual degradation (blur, low light), the aligned visual features $\mathbf{f}_{\text{vis}}$ shrink in magnitude, and MRDS automatically reduces the visual weight while up-weighting more reliable agronomic and sensor channels.</w:t>
      </w:r>
    </w:p>
    <w:p>
      <w:pPr>
        <w:spacing w:after="80"/>
      </w:pPr>
      <w:r>
        <w:t>A residual enhancement (ResFusion) module further refines the fused representation:</w:t>
      </w:r>
    </w:p>
    <w:p>
      <w:pPr>
        <w:spacing w:after="80"/>
      </w:pPr>
      <w:r>
        <w:t>$$\mathbf{f}_{\text{enhanced}} = \mathbf{f}_{\text{fused}} + \text{MLP}(\mathbf{f}_{\text{fused}})$$</w:t>
      </w:r>
    </w:p>
    <w:p>
      <w:pPr>
        <w:pStyle w:val="Heading3"/>
      </w:pPr>
      <w:r>
        <w:t>4.5 Temporal GRU</w:t>
      </w:r>
    </w:p>
    <w:p>
      <w:pPr>
        <w:spacing w:after="80"/>
      </w:pPr>
      <w:r>
        <w:t>To capture temporal stress progression, DAFN-T processes a sliding window of $T=5$ consecutive observations through a single-layer GRU with hidden dimension $d$:</w:t>
      </w:r>
    </w:p>
    <w:p>
      <w:pPr>
        <w:spacing w:after="80"/>
      </w:pPr>
      <w:r>
        <w:t>$$[\mathbf{h}_1, \ldots, \mathbf{h}_T] = \text{GRU}([\mathbf{f}_1, \ldots, \mathbf{f}_T])$$</w:t>
      </w:r>
    </w:p>
    <w:p>
      <w:pPr>
        <w:spacing w:after="80"/>
      </w:pPr>
      <w:r>
        <w:t>$$\mathbf{y} = \text{MLP}(\mathbf{h}_T)$$</w:t>
      </w:r>
    </w:p>
    <w:p>
      <w:pPr>
        <w:spacing w:after="80"/>
      </w:pPr>
      <w:r>
        <w:t>where $\mathbf{f}_t$ is the enhanced fused representation at timestep $t$, and $\mathbf{h}_T$ is the GRU hidden state after the final timestep, used for classification.</w:t>
      </w:r>
    </w:p>
    <w:p>
      <w:pPr>
        <w:pStyle w:val="Heading3"/>
      </w:pPr>
      <w:r>
        <w:t>4.6 Complexity</w:t>
      </w:r>
    </w:p>
    <w:p>
      <w:pPr>
        <w:spacing w:after="80"/>
      </w:pPr>
      <w:r/>
      <w:r>
        <w:rPr>
          <w:b/>
        </w:rPr>
        <w:t>Table 2. Model complexity comparison.</w:t>
      </w: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Parameters</w:t>
            </w:r>
          </w:p>
        </w:tc>
        <w:tc>
          <w:tcPr>
            <w:tcW w:type="dxa" w:w="1728"/>
          </w:tcPr>
          <w:p>
            <w:r>
              <w:rPr>
                <w:b/>
                <w:sz w:val="18"/>
              </w:rPr>
              <w:t>FLOPs</w:t>
            </w:r>
          </w:p>
        </w:tc>
        <w:tc>
          <w:tcPr>
            <w:tcW w:type="dxa" w:w="1728"/>
          </w:tcPr>
          <w:p>
            <w:r>
              <w:rPr>
                <w:b/>
                <w:sz w:val="18"/>
              </w:rPr>
              <w:t>CPU Inference</w:t>
            </w:r>
          </w:p>
        </w:tc>
        <w:tc>
          <w:tcPr>
            <w:tcW w:type="dxa" w:w="1728"/>
          </w:tcPr>
          <w:p>
            <w:r>
              <w:rPr>
                <w:b/>
                <w:sz w:val="18"/>
              </w:rPr>
              <w:t>Memory</w:t>
            </w:r>
          </w:p>
        </w:tc>
      </w:tr>
      <w:tr>
        <w:tc>
          <w:tcPr>
            <w:tcW w:type="dxa" w:w="1728"/>
          </w:tcPr>
          <w:p>
            <w:r>
              <w:rPr>
                <w:sz w:val="18"/>
              </w:rPr>
              <w:t>ResNet50 (frozen backbone)</w:t>
            </w:r>
          </w:p>
        </w:tc>
        <w:tc>
          <w:tcPr>
            <w:tcW w:type="dxa" w:w="1728"/>
          </w:tcPr>
          <w:p>
            <w:r>
              <w:rPr>
                <w:sz w:val="18"/>
              </w:rPr>
              <w:t>25.6 M</w:t>
            </w:r>
          </w:p>
        </w:tc>
        <w:tc>
          <w:tcPr>
            <w:tcW w:type="dxa" w:w="1728"/>
          </w:tcPr>
          <w:p>
            <w:r>
              <w:rPr>
                <w:sz w:val="18"/>
              </w:rPr>
              <w:t>4.1 G</w:t>
            </w:r>
          </w:p>
        </w:tc>
        <w:tc>
          <w:tcPr>
            <w:tcW w:type="dxa" w:w="1728"/>
          </w:tcPr>
          <w:p>
            <w:r>
              <w:rPr>
                <w:sz w:val="18"/>
              </w:rPr>
              <w:t>12.0 ms</w:t>
            </w:r>
          </w:p>
        </w:tc>
        <w:tc>
          <w:tcPr>
            <w:tcW w:type="dxa" w:w="1728"/>
          </w:tcPr>
          <w:p>
            <w:r>
              <w:rPr>
                <w:sz w:val="18"/>
              </w:rPr>
              <w:t>98 MB</w:t>
            </w:r>
          </w:p>
        </w:tc>
      </w:tr>
      <w:tr>
        <w:tc>
          <w:tcPr>
            <w:tcW w:type="dxa" w:w="1728"/>
          </w:tcPr>
          <w:p>
            <w:r>
              <w:rPr>
                <w:sz w:val="18"/>
              </w:rPr>
              <w:t>SVM (RBF kernel)</w:t>
            </w:r>
          </w:p>
        </w:tc>
        <w:tc>
          <w:tcPr>
            <w:tcW w:type="dxa" w:w="1728"/>
          </w:tcPr>
          <w:p>
            <w:r>
              <w:rPr>
                <w:sz w:val="18"/>
              </w:rPr>
              <w:t>—</w:t>
            </w:r>
          </w:p>
        </w:tc>
        <w:tc>
          <w:tcPr>
            <w:tcW w:type="dxa" w:w="1728"/>
          </w:tcPr>
          <w:p>
            <w:r>
              <w:rPr>
                <w:sz w:val="18"/>
              </w:rPr>
              <w:t>—</w:t>
            </w:r>
          </w:p>
        </w:tc>
        <w:tc>
          <w:tcPr>
            <w:tcW w:type="dxa" w:w="1728"/>
          </w:tcPr>
          <w:p>
            <w:r>
              <w:rPr>
                <w:sz w:val="18"/>
              </w:rPr>
              <w:t>0.3 ms</w:t>
            </w:r>
          </w:p>
        </w:tc>
        <w:tc>
          <w:tcPr>
            <w:tcW w:type="dxa" w:w="1728"/>
          </w:tcPr>
          <w:p>
            <w:r>
              <w:rPr>
                <w:sz w:val="18"/>
              </w:rPr>
              <w:t>&lt;1 MB</w:t>
            </w:r>
          </w:p>
        </w:tc>
      </w:tr>
      <w:tr>
        <w:tc>
          <w:tcPr>
            <w:tcW w:type="dxa" w:w="1728"/>
          </w:tcPr>
          <w:p>
            <w:r>
              <w:rPr>
                <w:sz w:val="18"/>
              </w:rPr>
              <w:t>Random Forest (100 trees)</w:t>
            </w:r>
          </w:p>
        </w:tc>
        <w:tc>
          <w:tcPr>
            <w:tcW w:type="dxa" w:w="1728"/>
          </w:tcPr>
          <w:p>
            <w:r>
              <w:rPr>
                <w:sz w:val="18"/>
              </w:rPr>
              <w:t>—</w:t>
            </w:r>
          </w:p>
        </w:tc>
        <w:tc>
          <w:tcPr>
            <w:tcW w:type="dxa" w:w="1728"/>
          </w:tcPr>
          <w:p>
            <w:r>
              <w:rPr>
                <w:sz w:val="18"/>
              </w:rPr>
              <w:t>—</w:t>
            </w:r>
          </w:p>
        </w:tc>
        <w:tc>
          <w:tcPr>
            <w:tcW w:type="dxa" w:w="1728"/>
          </w:tcPr>
          <w:p>
            <w:r>
              <w:rPr>
                <w:sz w:val="18"/>
              </w:rPr>
              <w:t>0.5 ms</w:t>
            </w:r>
          </w:p>
        </w:tc>
        <w:tc>
          <w:tcPr>
            <w:tcW w:type="dxa" w:w="1728"/>
          </w:tcPr>
          <w:p>
            <w:r>
              <w:rPr>
                <w:sz w:val="18"/>
              </w:rPr>
              <w:t>2 MB</w:t>
            </w:r>
          </w:p>
        </w:tc>
      </w:tr>
      <w:tr>
        <w:tc>
          <w:tcPr>
            <w:tcW w:type="dxa" w:w="1728"/>
          </w:tcPr>
          <w:p>
            <w:r>
              <w:rPr>
                <w:sz w:val="18"/>
              </w:rPr>
              <w:t>Agronomic-only MLP</w:t>
            </w:r>
          </w:p>
        </w:tc>
        <w:tc>
          <w:tcPr>
            <w:tcW w:type="dxa" w:w="1728"/>
          </w:tcPr>
          <w:p>
            <w:r>
              <w:rPr>
                <w:sz w:val="18"/>
              </w:rPr>
              <w:t>4.5 K</w:t>
            </w:r>
          </w:p>
        </w:tc>
        <w:tc>
          <w:tcPr>
            <w:tcW w:type="dxa" w:w="1728"/>
          </w:tcPr>
          <w:p>
            <w:r>
              <w:rPr>
                <w:sz w:val="18"/>
              </w:rPr>
              <w:t>9 K</w:t>
            </w:r>
          </w:p>
        </w:tc>
        <w:tc>
          <w:tcPr>
            <w:tcW w:type="dxa" w:w="1728"/>
          </w:tcPr>
          <w:p>
            <w:r>
              <w:rPr>
                <w:sz w:val="18"/>
              </w:rPr>
              <w:t>0.02 ms</w:t>
            </w:r>
          </w:p>
        </w:tc>
        <w:tc>
          <w:tcPr>
            <w:tcW w:type="dxa" w:w="1728"/>
          </w:tcPr>
          <w:p>
            <w:r>
              <w:rPr>
                <w:sz w:val="18"/>
              </w:rPr>
              <w:t>18 KB</w:t>
            </w:r>
          </w:p>
        </w:tc>
      </w:tr>
      <w:tr>
        <w:tc>
          <w:tcPr>
            <w:tcW w:type="dxa" w:w="1728"/>
          </w:tcPr>
          <w:p>
            <w:r>
              <w:rPr>
                <w:sz w:val="18"/>
              </w:rPr>
              <w:t>DAFN (single-day)</w:t>
            </w:r>
          </w:p>
        </w:tc>
        <w:tc>
          <w:tcPr>
            <w:tcW w:type="dxa" w:w="1728"/>
          </w:tcPr>
          <w:p>
            <w:r>
              <w:rPr>
                <w:sz w:val="18"/>
              </w:rPr>
              <w:t>28 K</w:t>
            </w:r>
          </w:p>
        </w:tc>
        <w:tc>
          <w:tcPr>
            <w:tcW w:type="dxa" w:w="1728"/>
          </w:tcPr>
          <w:p>
            <w:r>
              <w:rPr>
                <w:sz w:val="18"/>
              </w:rPr>
              <w:t>56 K</w:t>
            </w:r>
          </w:p>
        </w:tc>
        <w:tc>
          <w:tcPr>
            <w:tcW w:type="dxa" w:w="1728"/>
          </w:tcPr>
          <w:p>
            <w:r>
              <w:rPr>
                <w:sz w:val="18"/>
              </w:rPr>
              <w:t>0.5 ms</w:t>
            </w:r>
          </w:p>
        </w:tc>
        <w:tc>
          <w:tcPr>
            <w:tcW w:type="dxa" w:w="1728"/>
          </w:tcPr>
          <w:p>
            <w:r>
              <w:rPr>
                <w:sz w:val="18"/>
              </w:rPr>
              <w:t>112 KB</w:t>
            </w:r>
          </w:p>
        </w:tc>
      </w:tr>
      <w:tr>
        <w:tc>
          <w:tcPr>
            <w:tcW w:type="dxa" w:w="1728"/>
          </w:tcPr>
          <w:p>
            <w:r>
              <w:rPr>
                <w:sz w:val="18"/>
              </w:rPr>
              <w:t>**DAFN-T (T=5, d=128)**</w:t>
            </w:r>
          </w:p>
        </w:tc>
        <w:tc>
          <w:tcPr>
            <w:tcW w:type="dxa" w:w="1728"/>
          </w:tcPr>
          <w:p>
            <w:r>
              <w:rPr>
                <w:sz w:val="18"/>
              </w:rPr>
              <w:t>**80 K**</w:t>
            </w:r>
          </w:p>
        </w:tc>
        <w:tc>
          <w:tcPr>
            <w:tcW w:type="dxa" w:w="1728"/>
          </w:tcPr>
          <w:p>
            <w:r>
              <w:rPr>
                <w:sz w:val="18"/>
              </w:rPr>
              <w:t>**400 K**</w:t>
            </w:r>
          </w:p>
        </w:tc>
        <w:tc>
          <w:tcPr>
            <w:tcW w:type="dxa" w:w="1728"/>
          </w:tcPr>
          <w:p>
            <w:r>
              <w:rPr>
                <w:sz w:val="18"/>
              </w:rPr>
              <w:t>**1.5 ms**</w:t>
            </w:r>
          </w:p>
        </w:tc>
        <w:tc>
          <w:tcPr>
            <w:tcW w:type="dxa" w:w="1728"/>
          </w:tcPr>
          <w:p>
            <w:r>
              <w:rPr>
                <w:sz w:val="18"/>
              </w:rPr>
              <w:t>**0.3 MB**</w:t>
            </w:r>
          </w:p>
        </w:tc>
      </w:tr>
    </w:tbl>
    <w:p/>
    <w:p>
      <w:pPr>
        <w:spacing w:after="80"/>
      </w:pPr>
      <w:r>
        <w:t>DAFN-T contains approximately 80K parameters, with inference time of 1.5 ms per sample on CPU (Intel i7-12700) and a model footprint of 0.3 MB — suitable for over-the-air updates via 4G/LTE in remote greenhouse deployments.</w:t>
      </w:r>
    </w:p>
    <w:p>
      <w:r>
        <w:t>____________________________________________________________</w:t>
      </w:r>
    </w:p>
    <w:p>
      <w:pPr>
        <w:pStyle w:val="Heading2"/>
      </w:pPr>
      <w:r>
        <w:t>5. Experimental Results</w:t>
      </w:r>
    </w:p>
    <w:p>
      <w:pPr>
        <w:pStyle w:val="Heading3"/>
      </w:pPr>
      <w:r>
        <w:t>5.1 Setup</w:t>
      </w:r>
    </w:p>
    <w:p>
      <w:pPr>
        <w:spacing w:after="80"/>
      </w:pPr>
      <w:r>
        <w:t>All experiments are conducted as binary classification (Healthy vs. Stress, with Other merged into Stress). Metrics reported are binary accuracy, Stress-class recall, and macro-averaged F1 score. Baseline models include:</w:t>
      </w:r>
    </w:p>
    <w:p>
      <w:pPr>
        <w:pStyle w:val="ListBullet"/>
      </w:pPr>
      <w:r/>
      <w:r>
        <w:rPr>
          <w:b/>
        </w:rPr>
        <w:t>SVM</w:t>
      </w:r>
      <w:r>
        <w:t>: RBF kernel, gamma='scale', C=1.0</w:t>
      </w:r>
    </w:p>
    <w:p>
      <w:pPr>
        <w:pStyle w:val="ListBullet"/>
      </w:pPr>
      <w:r/>
      <w:r>
        <w:rPr>
          <w:b/>
        </w:rPr>
        <w:t>RF</w:t>
      </w:r>
      <w:r>
        <w:t>: 100 trees, Gini impurity</w:t>
      </w:r>
    </w:p>
    <w:p>
      <w:pPr>
        <w:pStyle w:val="ListBullet"/>
      </w:pPr>
      <w:r/>
      <w:r>
        <w:rPr>
          <w:b/>
        </w:rPr>
        <w:t>Agronomic-only MLP</w:t>
      </w:r>
      <w:r>
        <w:t>: 3-layer MLP (10→64→32→2)</w:t>
      </w:r>
    </w:p>
    <w:p>
      <w:pPr>
        <w:pStyle w:val="ListBullet"/>
      </w:pPr>
      <w:r/>
      <w:r>
        <w:rPr>
          <w:b/>
        </w:rPr>
        <w:t>Sensor-only MLP</w:t>
      </w:r>
      <w:r>
        <w:t>: 3-layer MLP (6→32→16→2)</w:t>
      </w:r>
    </w:p>
    <w:p>
      <w:pPr>
        <w:pStyle w:val="ListBullet"/>
      </w:pPr>
      <w:r/>
      <w:r>
        <w:rPr>
          <w:b/>
        </w:rPr>
        <w:t>Vision-only (FT)</w:t>
      </w:r>
      <w:r>
        <w:t>: Fine-tuned ResNet50 (layer3+4 unfrozen)</w:t>
      </w:r>
    </w:p>
    <w:p>
      <w:pPr>
        <w:pStyle w:val="ListBullet"/>
      </w:pPr>
      <w:r/>
      <w:r>
        <w:rPr>
          <w:b/>
        </w:rPr>
        <w:t>DAFN</w:t>
      </w:r>
      <w:r>
        <w:t>: Single-day multimodal fusion (50 epochs)</w:t>
      </w:r>
    </w:p>
    <w:p>
      <w:pPr>
        <w:pStyle w:val="ListBullet"/>
      </w:pPr>
      <w:r/>
      <w:r>
        <w:rPr>
          <w:b/>
        </w:rPr>
        <w:t>DAFN-T</w:t>
      </w:r>
      <w:r>
        <w:t>: Temporal fusion (T=5, 50 epochs)</w:t>
      </w:r>
    </w:p>
    <w:p>
      <w:pPr>
        <w:spacing w:after="80"/>
      </w:pPr>
      <w:r>
        <w:t>Training uses Adam optimizer (lr=1e-4), batch size 16, and class-balanced cross-entropy loss. For DAFN-T, temporal windows are constructed from consecutive observations of the same plant.</w:t>
      </w:r>
    </w:p>
    <w:p>
      <w:pPr>
        <w:pStyle w:val="Heading3"/>
      </w:pPr>
      <w:r>
        <w:t>5.2 Frozen vs. Fine-Tuned: The Critical Role of Dataset Scale</w:t>
      </w:r>
    </w:p>
    <w:p>
      <w:pPr>
        <w:spacing w:after="80"/>
      </w:pPr>
      <w:r/>
      <w:r>
        <w:rPr>
          <w:b/>
        </w:rPr>
        <w:t>Table 3. Frozen vs. fine-tuned ResNet50 features.</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Setting</w:t>
            </w:r>
          </w:p>
        </w:tc>
        <w:tc>
          <w:tcPr>
            <w:tcW w:type="dxa" w:w="2160"/>
          </w:tcPr>
          <w:p>
            <w:r>
              <w:rPr>
                <w:b/>
                <w:sz w:val="18"/>
              </w:rPr>
              <w:t>Visual Backbone</w:t>
            </w:r>
          </w:p>
        </w:tc>
        <w:tc>
          <w:tcPr>
            <w:tcW w:type="dxa" w:w="2160"/>
          </w:tcPr>
          <w:p>
            <w:r>
              <w:rPr>
                <w:b/>
                <w:sz w:val="18"/>
              </w:rPr>
              <w:t>Fusion Method</w:t>
            </w:r>
          </w:p>
        </w:tc>
        <w:tc>
          <w:tcPr>
            <w:tcW w:type="dxa" w:w="2160"/>
          </w:tcPr>
          <w:p>
            <w:r>
              <w:rPr>
                <w:b/>
                <w:sz w:val="18"/>
              </w:rPr>
              <w:t>Binary Acc.</w:t>
            </w:r>
          </w:p>
        </w:tc>
      </w:tr>
      <w:tr>
        <w:tc>
          <w:tcPr>
            <w:tcW w:type="dxa" w:w="2160"/>
          </w:tcPr>
          <w:p>
            <w:r>
              <w:rPr>
                <w:sz w:val="18"/>
              </w:rPr>
              <w:t>Frozen</w:t>
            </w:r>
          </w:p>
        </w:tc>
        <w:tc>
          <w:tcPr>
            <w:tcW w:type="dxa" w:w="2160"/>
          </w:tcPr>
          <w:p>
            <w:r>
              <w:rPr>
                <w:sz w:val="18"/>
              </w:rPr>
              <w:t>ImageNet-pretrained</w:t>
            </w:r>
          </w:p>
        </w:tc>
        <w:tc>
          <w:tcPr>
            <w:tcW w:type="dxa" w:w="2160"/>
          </w:tcPr>
          <w:p>
            <w:r>
              <w:rPr>
                <w:sz w:val="18"/>
              </w:rPr>
              <w:t>DAFN</w:t>
            </w:r>
          </w:p>
        </w:tc>
        <w:tc>
          <w:tcPr>
            <w:tcW w:type="dxa" w:w="2160"/>
          </w:tcPr>
          <w:p>
            <w:r>
              <w:rPr>
                <w:sz w:val="18"/>
              </w:rPr>
              <w:t>55.37%</w:t>
            </w:r>
          </w:p>
        </w:tc>
      </w:tr>
      <w:tr>
        <w:tc>
          <w:tcPr>
            <w:tcW w:type="dxa" w:w="2160"/>
          </w:tcPr>
          <w:p>
            <w:r>
              <w:rPr>
                <w:sz w:val="18"/>
              </w:rPr>
              <w:t>Frozen</w:t>
            </w:r>
          </w:p>
        </w:tc>
        <w:tc>
          <w:tcPr>
            <w:tcW w:type="dxa" w:w="2160"/>
          </w:tcPr>
          <w:p>
            <w:r>
              <w:rPr>
                <w:sz w:val="18"/>
              </w:rPr>
              <w:t>ImageNet-pretrained</w:t>
            </w:r>
          </w:p>
        </w:tc>
        <w:tc>
          <w:tcPr>
            <w:tcW w:type="dxa" w:w="2160"/>
          </w:tcPr>
          <w:p>
            <w:r>
              <w:rPr>
                <w:sz w:val="18"/>
              </w:rPr>
              <w:t>DAFN-T</w:t>
            </w:r>
          </w:p>
        </w:tc>
        <w:tc>
          <w:tcPr>
            <w:tcW w:type="dxa" w:w="2160"/>
          </w:tcPr>
          <w:p>
            <w:r>
              <w:rPr>
                <w:sz w:val="18"/>
              </w:rPr>
              <w:t>56.54%</w:t>
            </w:r>
          </w:p>
        </w:tc>
      </w:tr>
      <w:tr>
        <w:tc>
          <w:tcPr>
            <w:tcW w:type="dxa" w:w="2160"/>
          </w:tcPr>
          <w:p>
            <w:r>
              <w:rPr>
                <w:sz w:val="18"/>
              </w:rPr>
              <w:t>Fine-tuned (Epoch 2)</w:t>
            </w:r>
          </w:p>
        </w:tc>
        <w:tc>
          <w:tcPr>
            <w:tcW w:type="dxa" w:w="2160"/>
          </w:tcPr>
          <w:p>
            <w:r>
              <w:rPr>
                <w:sz w:val="18"/>
              </w:rPr>
              <w:t>Horti-M3-Large</w:t>
            </w:r>
          </w:p>
        </w:tc>
        <w:tc>
          <w:tcPr>
            <w:tcW w:type="dxa" w:w="2160"/>
          </w:tcPr>
          <w:p>
            <w:r>
              <w:rPr>
                <w:sz w:val="18"/>
              </w:rPr>
              <w:t>—</w:t>
            </w:r>
          </w:p>
        </w:tc>
        <w:tc>
          <w:tcPr>
            <w:tcW w:type="dxa" w:w="2160"/>
          </w:tcPr>
          <w:p>
            <w:r>
              <w:rPr>
                <w:sz w:val="18"/>
              </w:rPr>
              <w:t>97.39%</w:t>
            </w:r>
          </w:p>
        </w:tc>
      </w:tr>
      <w:tr>
        <w:tc>
          <w:tcPr>
            <w:tcW w:type="dxa" w:w="2160"/>
          </w:tcPr>
          <w:p>
            <w:r>
              <w:rPr>
                <w:sz w:val="18"/>
              </w:rPr>
              <w:t>Fine-tuned (Epoch 30)</w:t>
            </w:r>
          </w:p>
        </w:tc>
        <w:tc>
          <w:tcPr>
            <w:tcW w:type="dxa" w:w="2160"/>
          </w:tcPr>
          <w:p>
            <w:r>
              <w:rPr>
                <w:sz w:val="18"/>
              </w:rPr>
              <w:t>Horti-M3-Large</w:t>
            </w:r>
          </w:p>
        </w:tc>
        <w:tc>
          <w:tcPr>
            <w:tcW w:type="dxa" w:w="2160"/>
          </w:tcPr>
          <w:p>
            <w:r>
              <w:rPr>
                <w:sz w:val="18"/>
              </w:rPr>
              <w:t>—</w:t>
            </w:r>
          </w:p>
        </w:tc>
        <w:tc>
          <w:tcPr>
            <w:tcW w:type="dxa" w:w="2160"/>
          </w:tcPr>
          <w:p>
            <w:r>
              <w:rPr>
                <w:sz w:val="18"/>
              </w:rPr>
              <w:t>97.39%</w:t>
            </w:r>
          </w:p>
        </w:tc>
      </w:tr>
      <w:tr>
        <w:tc>
          <w:tcPr>
            <w:tcW w:type="dxa" w:w="2160"/>
          </w:tcPr>
          <w:p>
            <w:r>
              <w:rPr>
                <w:sz w:val="18"/>
              </w:rPr>
              <w:t>Fine-tuned + DAFN-T</w:t>
            </w:r>
          </w:p>
        </w:tc>
        <w:tc>
          <w:tcPr>
            <w:tcW w:type="dxa" w:w="2160"/>
          </w:tcPr>
          <w:p>
            <w:r>
              <w:rPr>
                <w:sz w:val="18"/>
              </w:rPr>
              <w:t>Horti-M3-Large</w:t>
            </w:r>
          </w:p>
        </w:tc>
        <w:tc>
          <w:tcPr>
            <w:tcW w:type="dxa" w:w="2160"/>
          </w:tcPr>
          <w:p>
            <w:r>
              <w:rPr>
                <w:sz w:val="18"/>
              </w:rPr>
              <w:t>DAFN-T (d=128)</w:t>
            </w:r>
          </w:p>
        </w:tc>
        <w:tc>
          <w:tcPr>
            <w:tcW w:type="dxa" w:w="2160"/>
          </w:tcPr>
          <w:p>
            <w:r>
              <w:rPr>
                <w:sz w:val="18"/>
              </w:rPr>
              <w:t>**98.67%**</w:t>
            </w:r>
          </w:p>
        </w:tc>
      </w:tr>
    </w:tbl>
    <w:p/>
    <w:p>
      <w:pPr>
        <w:spacing w:after="80"/>
      </w:pPr>
      <w:r>
        <w:t xml:space="preserve">The key finding is stark: frozen ImageNet features, when integrated into a multimodal fusion framework (DAFN), yield only 55.37% — barely above the majority-class baseline. This is significantly lower than the agronomic-only MLP (79.53%) and far below non-deep baselines (RF 89.25%, SVM 89.20%). We attribute this to two factors. First, the </w:t>
      </w:r>
      <w:r>
        <w:rPr>
          <w:b/>
        </w:rPr>
        <w:t>domain gap</w:t>
      </w:r>
      <w:r>
        <w:t xml:space="preserve">: ImageNet emphasizes distinctive object textures (e.g., animal fur, vehicle surfaces), while early-stage plant stress manifests as subtle color shifts and canopy density changes outside ImageNet's learned representation space. Second, </w:t>
      </w:r>
      <w:r>
        <w:rPr>
          <w:b/>
        </w:rPr>
        <w:t>feature space misalignment</w:t>
      </w:r>
      <w:r>
        <w:t>: projecting 2048-d visual features into a 64-d shared space alongside 10-d agronomic features compresses the visual signal, and the MRDS module's L2-norm-based weighting down-weights the higher-dimensional visual stream.</w:t>
      </w:r>
    </w:p>
    <w:p>
      <w:pPr>
        <w:spacing w:after="80"/>
      </w:pPr>
      <w:r>
        <w:t xml:space="preserve">Fine-tuning on Horti-M3-Large dramatically changes this picture. After just 2 epochs, the fine-tuned ResNet50 achieves 97.39% validation accuracy — a 42 percentage point improvement over frozen features. This demonstrates that the primary bottleneck is </w:t>
      </w:r>
      <w:r>
        <w:rPr>
          <w:b/>
        </w:rPr>
        <w:t>dataset scale</w:t>
      </w:r>
      <w:r>
        <w:t>, not architecture. With sufficient in-domain data, domain adaptation through fine-tuning unlocks the full discriminative power of deep vision backbones.</w:t>
      </w:r>
    </w:p>
    <w:p>
      <w:pPr>
        <w:pStyle w:val="Heading3"/>
      </w:pPr>
      <w:r>
        <w:t>5.3 Modality Analysis Under Clean Conditions</w:t>
      </w:r>
    </w:p>
    <w:p>
      <w:pPr>
        <w:spacing w:after="80"/>
      </w:pPr>
      <w:r/>
      <w:r>
        <w:rPr>
          <w:b/>
        </w:rPr>
        <w:t>Table 4. Modality analysis under clean conditions.</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Configuration</w:t>
            </w:r>
          </w:p>
        </w:tc>
        <w:tc>
          <w:tcPr>
            <w:tcW w:type="dxa" w:w="2160"/>
          </w:tcPr>
          <w:p>
            <w:r>
              <w:rPr>
                <w:b/>
                <w:sz w:val="18"/>
              </w:rPr>
              <w:t>Binary Acc.</w:t>
            </w:r>
          </w:p>
        </w:tc>
        <w:tc>
          <w:tcPr>
            <w:tcW w:type="dxa" w:w="2160"/>
          </w:tcPr>
          <w:p>
            <w:r>
              <w:rPr>
                <w:b/>
                <w:sz w:val="18"/>
              </w:rPr>
              <w:t>Stress Recall</w:t>
            </w:r>
          </w:p>
        </w:tc>
        <w:tc>
          <w:tcPr>
            <w:tcW w:type="dxa" w:w="2160"/>
          </w:tcPr>
          <w:p>
            <w:r>
              <w:rPr>
                <w:b/>
                <w:sz w:val="18"/>
              </w:rPr>
              <w:t>Macro F1</w:t>
            </w:r>
          </w:p>
        </w:tc>
      </w:tr>
      <w:tr>
        <w:tc>
          <w:tcPr>
            <w:tcW w:type="dxa" w:w="2160"/>
          </w:tcPr>
          <w:p>
            <w:r>
              <w:rPr>
                <w:sz w:val="18"/>
              </w:rPr>
              <w:t>Agronomic-only MLP</w:t>
            </w:r>
          </w:p>
        </w:tc>
        <w:tc>
          <w:tcPr>
            <w:tcW w:type="dxa" w:w="2160"/>
          </w:tcPr>
          <w:p>
            <w:r>
              <w:rPr>
                <w:sz w:val="18"/>
              </w:rPr>
              <w:t>79.5%</w:t>
            </w:r>
          </w:p>
        </w:tc>
        <w:tc>
          <w:tcPr>
            <w:tcW w:type="dxa" w:w="2160"/>
          </w:tcPr>
          <w:p>
            <w:r>
              <w:rPr>
                <w:sz w:val="18"/>
              </w:rPr>
              <w:t>0.978</w:t>
            </w:r>
          </w:p>
        </w:tc>
        <w:tc>
          <w:tcPr>
            <w:tcW w:type="dxa" w:w="2160"/>
          </w:tcPr>
          <w:p>
            <w:r>
              <w:rPr>
                <w:sz w:val="18"/>
              </w:rPr>
              <w:t>0.843</w:t>
            </w:r>
          </w:p>
        </w:tc>
      </w:tr>
      <w:tr>
        <w:tc>
          <w:tcPr>
            <w:tcW w:type="dxa" w:w="2160"/>
          </w:tcPr>
          <w:p>
            <w:r>
              <w:rPr>
                <w:sz w:val="18"/>
              </w:rPr>
              <w:t>Sensor-only MLP</w:t>
            </w:r>
          </w:p>
        </w:tc>
        <w:tc>
          <w:tcPr>
            <w:tcW w:type="dxa" w:w="2160"/>
          </w:tcPr>
          <w:p>
            <w:r>
              <w:rPr>
                <w:sz w:val="18"/>
              </w:rPr>
              <w:t>68.2%</w:t>
            </w:r>
          </w:p>
        </w:tc>
        <w:tc>
          <w:tcPr>
            <w:tcW w:type="dxa" w:w="2160"/>
          </w:tcPr>
          <w:p>
            <w:r>
              <w:rPr>
                <w:sz w:val="18"/>
              </w:rPr>
              <w:t>0.743</w:t>
            </w:r>
          </w:p>
        </w:tc>
        <w:tc>
          <w:tcPr>
            <w:tcW w:type="dxa" w:w="2160"/>
          </w:tcPr>
          <w:p>
            <w:r>
              <w:rPr>
                <w:sz w:val="18"/>
              </w:rPr>
              <w:t>0.452</w:t>
            </w:r>
          </w:p>
        </w:tc>
      </w:tr>
      <w:tr>
        <w:tc>
          <w:tcPr>
            <w:tcW w:type="dxa" w:w="2160"/>
          </w:tcPr>
          <w:p>
            <w:r>
              <w:rPr>
                <w:sz w:val="18"/>
              </w:rPr>
              <w:t>Vision-only (fine-tuned)</w:t>
            </w:r>
          </w:p>
        </w:tc>
        <w:tc>
          <w:tcPr>
            <w:tcW w:type="dxa" w:w="2160"/>
          </w:tcPr>
          <w:p>
            <w:r>
              <w:rPr>
                <w:sz w:val="18"/>
              </w:rPr>
              <w:t>98.1%</w:t>
            </w:r>
          </w:p>
        </w:tc>
        <w:tc>
          <w:tcPr>
            <w:tcW w:type="dxa" w:w="2160"/>
          </w:tcPr>
          <w:p>
            <w:r>
              <w:rPr>
                <w:sz w:val="18"/>
              </w:rPr>
              <w:t>0.996</w:t>
            </w:r>
          </w:p>
        </w:tc>
        <w:tc>
          <w:tcPr>
            <w:tcW w:type="dxa" w:w="2160"/>
          </w:tcPr>
          <w:p>
            <w:r>
              <w:rPr>
                <w:sz w:val="18"/>
              </w:rPr>
              <w:t>0.979</w:t>
            </w:r>
          </w:p>
        </w:tc>
      </w:tr>
      <w:tr>
        <w:tc>
          <w:tcPr>
            <w:tcW w:type="dxa" w:w="2160"/>
          </w:tcPr>
          <w:p>
            <w:r>
              <w:rPr>
                <w:sz w:val="18"/>
              </w:rPr>
              <w:t>**DAFN-T (dim=128, T=5)**</w:t>
            </w:r>
          </w:p>
        </w:tc>
        <w:tc>
          <w:tcPr>
            <w:tcW w:type="dxa" w:w="2160"/>
          </w:tcPr>
          <w:p>
            <w:r>
              <w:rPr>
                <w:sz w:val="18"/>
              </w:rPr>
              <w:t>**98.8%**</w:t>
            </w:r>
          </w:p>
        </w:tc>
        <w:tc>
          <w:tcPr>
            <w:tcW w:type="dxa" w:w="2160"/>
          </w:tcPr>
          <w:p>
            <w:r>
              <w:rPr>
                <w:sz w:val="18"/>
              </w:rPr>
              <w:t>**0.998**</w:t>
            </w:r>
          </w:p>
        </w:tc>
        <w:tc>
          <w:tcPr>
            <w:tcW w:type="dxa" w:w="2160"/>
          </w:tcPr>
          <w:p>
            <w:r>
              <w:rPr>
                <w:sz w:val="18"/>
              </w:rPr>
              <w:t>**0.986**</w:t>
            </w:r>
          </w:p>
        </w:tc>
      </w:tr>
    </w:tbl>
    <w:p/>
    <w:p>
      <w:pPr>
        <w:spacing w:after="80"/>
      </w:pPr>
      <w:r>
        <w:t xml:space="preserve">Under clean conditions, fine-tuned vision achieves 98.1% accuracy, establishing a strong upper bound. DAFN-T achieves 98.8% — a marginal improvement — because the visual modality already captures nearly all discriminative information when lighting and image quality are ideal. This confirms that the primary value of multimodal fusion is not peak accuracy but </w:t>
      </w:r>
      <w:r>
        <w:rPr>
          <w:b/>
        </w:rPr>
        <w:t>robustness under adverse conditions</w:t>
      </w:r>
      <w:r>
        <w:t>.</w:t>
      </w:r>
    </w:p>
    <w:p>
      <w:pPr>
        <w:pStyle w:val="Heading3"/>
      </w:pPr>
      <w:r>
        <w:t>5.4 Robustness Under Visual Degradation</w:t>
      </w:r>
    </w:p>
    <w:p>
      <w:pPr>
        <w:spacing w:after="80"/>
      </w:pPr>
      <w:r>
        <w:t>We simulate four visual degradation types encountered in cold-region greenhouses:</w:t>
      </w:r>
    </w:p>
    <w:p>
      <w:pPr>
        <w:pStyle w:val="ListBullet"/>
      </w:pPr>
      <w:r/>
      <w:r>
        <w:rPr>
          <w:b/>
        </w:rPr>
        <w:t>Gaussian noise</w:t>
      </w:r>
      <w:r>
        <w:t xml:space="preserve"> ($\sigma=0.3$): Simulates sensor noise under low-light conditions</w:t>
      </w:r>
    </w:p>
    <w:p>
      <w:pPr>
        <w:pStyle w:val="ListBullet"/>
      </w:pPr>
      <w:r/>
      <w:r>
        <w:rPr>
          <w:b/>
        </w:rPr>
        <w:t>Low brightness</w:t>
      </w:r>
      <w:r>
        <w:t xml:space="preserve"> (0.3×): Simulates winter overcast and early-morning conditions</w:t>
      </w:r>
    </w:p>
    <w:p>
      <w:pPr>
        <w:pStyle w:val="ListBullet"/>
      </w:pPr>
      <w:r/>
      <w:r>
        <w:rPr>
          <w:b/>
        </w:rPr>
        <w:t>Occlusion</w:t>
      </w:r>
      <w:r>
        <w:t xml:space="preserve"> (15% random patches): Simulates condensation droplets and obstructions</w:t>
      </w:r>
    </w:p>
    <w:p>
      <w:pPr>
        <w:pStyle w:val="ListBullet"/>
      </w:pPr>
      <w:r/>
      <w:r>
        <w:rPr>
          <w:b/>
        </w:rPr>
        <w:t>All combined</w:t>
      </w:r>
      <w:r>
        <w:t>: Worst-case scenario with all three degradations applied</w:t>
      </w:r>
    </w:p>
    <w:p>
      <w:pPr>
        <w:spacing w:after="80"/>
      </w:pPr>
      <w:r/>
      <w:r>
        <w:rPr>
          <w:b/>
        </w:rPr>
        <w:t>Table 5. Robustness under simulated visual degradation.</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Vision-only (FT)</w:t>
            </w:r>
          </w:p>
        </w:tc>
        <w:tc>
          <w:tcPr>
            <w:tcW w:type="dxa" w:w="2160"/>
          </w:tcPr>
          <w:p>
            <w:r>
              <w:rPr>
                <w:b/>
                <w:sz w:val="18"/>
              </w:rPr>
              <w:t>Agronomic-only</w:t>
            </w:r>
          </w:p>
        </w:tc>
        <w:tc>
          <w:tcPr>
            <w:tcW w:type="dxa" w:w="2160"/>
          </w:tcPr>
          <w:p>
            <w:r>
              <w:rPr>
                <w:b/>
                <w:sz w:val="18"/>
              </w:rPr>
              <w:t>**DAFN-T (ours)**</w:t>
            </w:r>
          </w:p>
        </w:tc>
      </w:tr>
      <w:tr>
        <w:tc>
          <w:tcPr>
            <w:tcW w:type="dxa" w:w="2160"/>
          </w:tcPr>
          <w:p>
            <w:r>
              <w:rPr>
                <w:sz w:val="18"/>
              </w:rPr>
              <w:t>Clean</w:t>
            </w:r>
          </w:p>
        </w:tc>
        <w:tc>
          <w:tcPr>
            <w:tcW w:type="dxa" w:w="2160"/>
          </w:tcPr>
          <w:p>
            <w:r>
              <w:rPr>
                <w:sz w:val="18"/>
              </w:rPr>
              <w:t>98.1%</w:t>
            </w:r>
          </w:p>
        </w:tc>
        <w:tc>
          <w:tcPr>
            <w:tcW w:type="dxa" w:w="2160"/>
          </w:tcPr>
          <w:p>
            <w:r>
              <w:rPr>
                <w:sz w:val="18"/>
              </w:rPr>
              <w:t>79.5%</w:t>
            </w:r>
          </w:p>
        </w:tc>
        <w:tc>
          <w:tcPr>
            <w:tcW w:type="dxa" w:w="2160"/>
          </w:tcPr>
          <w:p>
            <w:r>
              <w:rPr>
                <w:sz w:val="18"/>
              </w:rPr>
              <w:t>**98.8%**</w:t>
            </w:r>
          </w:p>
        </w:tc>
      </w:tr>
      <w:tr>
        <w:tc>
          <w:tcPr>
            <w:tcW w:type="dxa" w:w="2160"/>
          </w:tcPr>
          <w:p>
            <w:r>
              <w:rPr>
                <w:sz w:val="18"/>
              </w:rPr>
              <w:t>Gaussian noise ($\sigma=0.3$)</w:t>
            </w:r>
          </w:p>
        </w:tc>
        <w:tc>
          <w:tcPr>
            <w:tcW w:type="dxa" w:w="2160"/>
          </w:tcPr>
          <w:p>
            <w:r>
              <w:rPr>
                <w:sz w:val="18"/>
              </w:rPr>
              <w:t>65.2%</w:t>
            </w:r>
          </w:p>
        </w:tc>
        <w:tc>
          <w:tcPr>
            <w:tcW w:type="dxa" w:w="2160"/>
          </w:tcPr>
          <w:p>
            <w:r>
              <w:rPr>
                <w:sz w:val="18"/>
              </w:rPr>
              <w:t>79.5%</w:t>
            </w:r>
          </w:p>
        </w:tc>
        <w:tc>
          <w:tcPr>
            <w:tcW w:type="dxa" w:w="2160"/>
          </w:tcPr>
          <w:p>
            <w:r>
              <w:rPr>
                <w:sz w:val="18"/>
              </w:rPr>
              <w:t>**98.7%**</w:t>
            </w:r>
          </w:p>
        </w:tc>
      </w:tr>
      <w:tr>
        <w:tc>
          <w:tcPr>
            <w:tcW w:type="dxa" w:w="2160"/>
          </w:tcPr>
          <w:p>
            <w:r>
              <w:rPr>
                <w:sz w:val="18"/>
              </w:rPr>
              <w:t>Low brightness (0.3×)</w:t>
            </w:r>
          </w:p>
        </w:tc>
        <w:tc>
          <w:tcPr>
            <w:tcW w:type="dxa" w:w="2160"/>
          </w:tcPr>
          <w:p>
            <w:r>
              <w:rPr>
                <w:sz w:val="18"/>
              </w:rPr>
              <w:t>71.6%</w:t>
            </w:r>
          </w:p>
        </w:tc>
        <w:tc>
          <w:tcPr>
            <w:tcW w:type="dxa" w:w="2160"/>
          </w:tcPr>
          <w:p>
            <w:r>
              <w:rPr>
                <w:sz w:val="18"/>
              </w:rPr>
              <w:t>79.5%</w:t>
            </w:r>
          </w:p>
        </w:tc>
        <w:tc>
          <w:tcPr>
            <w:tcW w:type="dxa" w:w="2160"/>
          </w:tcPr>
          <w:p>
            <w:r>
              <w:rPr>
                <w:sz w:val="18"/>
              </w:rPr>
              <w:t>**83.3%**</w:t>
            </w:r>
          </w:p>
        </w:tc>
      </w:tr>
      <w:tr>
        <w:tc>
          <w:tcPr>
            <w:tcW w:type="dxa" w:w="2160"/>
          </w:tcPr>
          <w:p>
            <w:r>
              <w:rPr>
                <w:sz w:val="18"/>
              </w:rPr>
              <w:t>Occlusion (15%)</w:t>
            </w:r>
          </w:p>
        </w:tc>
        <w:tc>
          <w:tcPr>
            <w:tcW w:type="dxa" w:w="2160"/>
          </w:tcPr>
          <w:p>
            <w:r>
              <w:rPr>
                <w:sz w:val="18"/>
              </w:rPr>
              <w:t>68.9%</w:t>
            </w:r>
          </w:p>
        </w:tc>
        <w:tc>
          <w:tcPr>
            <w:tcW w:type="dxa" w:w="2160"/>
          </w:tcPr>
          <w:p>
            <w:r>
              <w:rPr>
                <w:sz w:val="18"/>
              </w:rPr>
              <w:t>79.5%</w:t>
            </w:r>
          </w:p>
        </w:tc>
        <w:tc>
          <w:tcPr>
            <w:tcW w:type="dxa" w:w="2160"/>
          </w:tcPr>
          <w:p>
            <w:r>
              <w:rPr>
                <w:sz w:val="18"/>
              </w:rPr>
              <w:t>**96.5%**</w:t>
            </w:r>
          </w:p>
        </w:tc>
      </w:tr>
      <w:tr>
        <w:tc>
          <w:tcPr>
            <w:tcW w:type="dxa" w:w="2160"/>
          </w:tcPr>
          <w:p>
            <w:r>
              <w:rPr>
                <w:sz w:val="18"/>
              </w:rPr>
              <w:t>All combined</w:t>
            </w:r>
          </w:p>
        </w:tc>
        <w:tc>
          <w:tcPr>
            <w:tcW w:type="dxa" w:w="2160"/>
          </w:tcPr>
          <w:p>
            <w:r>
              <w:rPr>
                <w:sz w:val="18"/>
              </w:rPr>
              <w:t>61.3%</w:t>
            </w:r>
          </w:p>
        </w:tc>
        <w:tc>
          <w:tcPr>
            <w:tcW w:type="dxa" w:w="2160"/>
          </w:tcPr>
          <w:p>
            <w:r>
              <w:rPr>
                <w:sz w:val="18"/>
              </w:rPr>
              <w:t>79.5%</w:t>
            </w:r>
          </w:p>
        </w:tc>
        <w:tc>
          <w:tcPr>
            <w:tcW w:type="dxa" w:w="2160"/>
          </w:tcPr>
          <w:p>
            <w:r>
              <w:rPr>
                <w:sz w:val="18"/>
              </w:rPr>
              <w:t>**88.4%**</w:t>
            </w:r>
          </w:p>
        </w:tc>
      </w:tr>
    </w:tbl>
    <w:p/>
    <w:p>
      <w:pPr>
        <w:spacing w:after="80"/>
      </w:pPr>
      <w:r>
        <w:t>[Figure 2. MRDS modality weights under clean and degraded (low-light) conditions. (a) Clean image: visual weight ≈0.95, agronomic ≈0.03, sensor ≈0.02. (b) Low-light image: visual weight drops to ≈0.2, agronomic rises to ≈0.6, sensor ≈0.2.]</w:t>
      </w:r>
    </w:p>
    <w:p>
      <w:pPr>
        <w:spacing w:after="80"/>
      </w:pPr>
      <w:r>
        <w:t xml:space="preserve">The results clearly demonstrate DAFN-T's value proposition. Under combined degradation, the fine-tuned vision-only model collapses to 61.3% (barely above chance), while DAFN-T maintains 88.4% accuracy — a </w:t>
      </w:r>
      <w:r>
        <w:rPr>
          <w:b/>
        </w:rPr>
        <w:t>+27.1 percentage point advantage</w:t>
      </w:r>
      <w:r>
        <w:t>. The agronomic modality provides a stable 79.5% anchor that DAFN-T builds upon, with MRDS adaptively increasing agronomic weight as visual quality degrades.</w:t>
      </w:r>
    </w:p>
    <w:p>
      <w:pPr>
        <w:pStyle w:val="Heading3"/>
      </w:pPr>
      <w:r>
        <w:t>5.5 Ablation Study: MRDS, FAM, and Dimension</w:t>
      </w:r>
    </w:p>
    <w:p>
      <w:pPr>
        <w:spacing w:after="80"/>
      </w:pPr>
      <w:r/>
      <w:r>
        <w:rPr>
          <w:b/>
        </w:rPr>
        <w:t>Table 6. Ablation study (Clean vs. Combined noise).</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Variant</w:t>
            </w:r>
          </w:p>
        </w:tc>
        <w:tc>
          <w:tcPr>
            <w:tcW w:type="dxa" w:w="2160"/>
          </w:tcPr>
          <w:p>
            <w:r>
              <w:rPr>
                <w:b/>
                <w:sz w:val="18"/>
              </w:rPr>
              <w:t>Clean Acc.</w:t>
            </w:r>
          </w:p>
        </w:tc>
        <w:tc>
          <w:tcPr>
            <w:tcW w:type="dxa" w:w="2160"/>
          </w:tcPr>
          <w:p>
            <w:r>
              <w:rPr>
                <w:b/>
                <w:sz w:val="18"/>
              </w:rPr>
              <w:t>Noisy Acc.</w:t>
            </w:r>
          </w:p>
        </w:tc>
        <w:tc>
          <w:tcPr>
            <w:tcW w:type="dxa" w:w="2160"/>
          </w:tcPr>
          <w:p>
            <w:r>
              <w:rPr>
                <w:b/>
                <w:sz w:val="18"/>
              </w:rPr>
              <w:t>Δ (Clean−Noisy)</w:t>
            </w:r>
          </w:p>
        </w:tc>
      </w:tr>
      <w:tr>
        <w:tc>
          <w:tcPr>
            <w:tcW w:type="dxa" w:w="2160"/>
          </w:tcPr>
          <w:p>
            <w:r>
              <w:rPr>
                <w:sz w:val="18"/>
              </w:rPr>
              <w:t>DAFN-T (dim=64)</w:t>
            </w:r>
          </w:p>
        </w:tc>
        <w:tc>
          <w:tcPr>
            <w:tcW w:type="dxa" w:w="2160"/>
          </w:tcPr>
          <w:p>
            <w:r>
              <w:rPr>
                <w:sz w:val="18"/>
              </w:rPr>
              <w:t>98.56%</w:t>
            </w:r>
          </w:p>
        </w:tc>
        <w:tc>
          <w:tcPr>
            <w:tcW w:type="dxa" w:w="2160"/>
          </w:tcPr>
          <w:p>
            <w:r>
              <w:rPr>
                <w:sz w:val="18"/>
              </w:rPr>
              <w:t>84.24%</w:t>
            </w:r>
          </w:p>
        </w:tc>
        <w:tc>
          <w:tcPr>
            <w:tcW w:type="dxa" w:w="2160"/>
          </w:tcPr>
          <w:p>
            <w:r>
              <w:rPr>
                <w:sz w:val="18"/>
              </w:rPr>
              <w:t>−14.32 pp</w:t>
            </w:r>
          </w:p>
        </w:tc>
      </w:tr>
      <w:tr>
        <w:tc>
          <w:tcPr>
            <w:tcW w:type="dxa" w:w="2160"/>
          </w:tcPr>
          <w:p>
            <w:r>
              <w:rPr>
                <w:sz w:val="18"/>
              </w:rPr>
              <w:t>w/o MRDS (avg weight)</w:t>
            </w:r>
          </w:p>
        </w:tc>
        <w:tc>
          <w:tcPr>
            <w:tcW w:type="dxa" w:w="2160"/>
          </w:tcPr>
          <w:p>
            <w:r>
              <w:rPr>
                <w:sz w:val="18"/>
              </w:rPr>
              <w:t>98.28%</w:t>
            </w:r>
          </w:p>
        </w:tc>
        <w:tc>
          <w:tcPr>
            <w:tcW w:type="dxa" w:w="2160"/>
          </w:tcPr>
          <w:p>
            <w:r>
              <w:rPr>
                <w:sz w:val="18"/>
              </w:rPr>
              <w:t>81.63%</w:t>
            </w:r>
          </w:p>
        </w:tc>
        <w:tc>
          <w:tcPr>
            <w:tcW w:type="dxa" w:w="2160"/>
          </w:tcPr>
          <w:p>
            <w:r>
              <w:rPr>
                <w:sz w:val="18"/>
              </w:rPr>
              <w:t>−16.65 pp</w:t>
            </w:r>
          </w:p>
        </w:tc>
      </w:tr>
      <w:tr>
        <w:tc>
          <w:tcPr>
            <w:tcW w:type="dxa" w:w="2160"/>
          </w:tcPr>
          <w:p>
            <w:r>
              <w:rPr>
                <w:sz w:val="18"/>
              </w:rPr>
              <w:t>w/o FAM (concat raw dim)</w:t>
            </w:r>
          </w:p>
        </w:tc>
        <w:tc>
          <w:tcPr>
            <w:tcW w:type="dxa" w:w="2160"/>
          </w:tcPr>
          <w:p>
            <w:r>
              <w:rPr>
                <w:sz w:val="18"/>
              </w:rPr>
              <w:t>98.11%</w:t>
            </w:r>
          </w:p>
        </w:tc>
        <w:tc>
          <w:tcPr>
            <w:tcW w:type="dxa" w:w="2160"/>
          </w:tcPr>
          <w:p>
            <w:r>
              <w:rPr>
                <w:sz w:val="18"/>
              </w:rPr>
              <w:t>84.74%</w:t>
            </w:r>
          </w:p>
        </w:tc>
        <w:tc>
          <w:tcPr>
            <w:tcW w:type="dxa" w:w="2160"/>
          </w:tcPr>
          <w:p>
            <w:r>
              <w:rPr>
                <w:sz w:val="18"/>
              </w:rPr>
              <w:t>−13.37 pp</w:t>
            </w:r>
          </w:p>
        </w:tc>
      </w:tr>
      <w:tr>
        <w:tc>
          <w:tcPr>
            <w:tcW w:type="dxa" w:w="2160"/>
          </w:tcPr>
          <w:p>
            <w:r>
              <w:rPr>
                <w:sz w:val="18"/>
              </w:rPr>
              <w:t>FAM dim=32</w:t>
            </w:r>
          </w:p>
        </w:tc>
        <w:tc>
          <w:tcPr>
            <w:tcW w:type="dxa" w:w="2160"/>
          </w:tcPr>
          <w:p>
            <w:r>
              <w:rPr>
                <w:sz w:val="18"/>
              </w:rPr>
              <w:t>98.39%</w:t>
            </w:r>
          </w:p>
        </w:tc>
        <w:tc>
          <w:tcPr>
            <w:tcW w:type="dxa" w:w="2160"/>
          </w:tcPr>
          <w:p>
            <w:r>
              <w:rPr>
                <w:sz w:val="18"/>
              </w:rPr>
              <w:t>87.62%</w:t>
            </w:r>
          </w:p>
        </w:tc>
        <w:tc>
          <w:tcPr>
            <w:tcW w:type="dxa" w:w="2160"/>
          </w:tcPr>
          <w:p>
            <w:r>
              <w:rPr>
                <w:sz w:val="18"/>
              </w:rPr>
              <w:t>−10.77 pp</w:t>
            </w:r>
          </w:p>
        </w:tc>
      </w:tr>
      <w:tr>
        <w:tc>
          <w:tcPr>
            <w:tcW w:type="dxa" w:w="2160"/>
          </w:tcPr>
          <w:p>
            <w:r>
              <w:rPr>
                <w:sz w:val="18"/>
              </w:rPr>
              <w:t>**FAM dim=128**</w:t>
            </w:r>
          </w:p>
        </w:tc>
        <w:tc>
          <w:tcPr>
            <w:tcW w:type="dxa" w:w="2160"/>
          </w:tcPr>
          <w:p>
            <w:r>
              <w:rPr>
                <w:sz w:val="18"/>
              </w:rPr>
              <w:t>**98.67%**</w:t>
            </w:r>
          </w:p>
        </w:tc>
        <w:tc>
          <w:tcPr>
            <w:tcW w:type="dxa" w:w="2160"/>
          </w:tcPr>
          <w:p>
            <w:r>
              <w:rPr>
                <w:sz w:val="18"/>
              </w:rPr>
              <w:t>**89.01%**</w:t>
            </w:r>
          </w:p>
        </w:tc>
        <w:tc>
          <w:tcPr>
            <w:tcW w:type="dxa" w:w="2160"/>
          </w:tcPr>
          <w:p>
            <w:r>
              <w:rPr>
                <w:sz w:val="18"/>
              </w:rPr>
              <w:t>**−9.66 pp**</w:t>
            </w:r>
          </w:p>
        </w:tc>
      </w:tr>
    </w:tbl>
    <w:p/>
    <w:p>
      <w:pPr>
        <w:spacing w:after="80"/>
      </w:pPr>
      <w:r>
        <w:t>Removing MRDS (replacing learned weights with simple averaging) reduces noisy accuracy by 2.61 pp (−14.32 → −16.65), confirming MRDS's role in adaptive modality weighting. Removing FAM (concatenating features at original dimensionalities) reduces the clean accuracy gap slightly (−13.37 vs. −14.32) but produces the second-best noisy accuracy (84.74%), suggesting that raw concatenation preserves visual detail that MRDS can still exploit. FAM dimension 128 provides the best overall performance with the smallest accuracy drop under noise (−9.66 pp), establishing it as the optimal information bottleneck.</w:t>
      </w:r>
    </w:p>
    <w:p>
      <w:pPr>
        <w:pStyle w:val="Heading3"/>
      </w:pPr>
      <w:r>
        <w:t>5.6 Temporal Module Ablation</w:t>
      </w:r>
    </w:p>
    <w:p>
      <w:pPr>
        <w:spacing w:after="80"/>
      </w:pPr>
      <w:r/>
      <w:r>
        <w:rPr>
          <w:b/>
        </w:rPr>
        <w:t>Table 7. Temporal ablation (DAFN vs. DAFN-T).</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Window</w:t>
            </w:r>
          </w:p>
        </w:tc>
        <w:tc>
          <w:tcPr>
            <w:tcW w:type="dxa" w:w="2160"/>
          </w:tcPr>
          <w:p>
            <w:r>
              <w:rPr>
                <w:b/>
                <w:sz w:val="18"/>
              </w:rPr>
              <w:t>Clean Acc.</w:t>
            </w:r>
          </w:p>
        </w:tc>
        <w:tc>
          <w:tcPr>
            <w:tcW w:type="dxa" w:w="2160"/>
          </w:tcPr>
          <w:p>
            <w:r>
              <w:rPr>
                <w:b/>
                <w:sz w:val="18"/>
              </w:rPr>
              <w:t>Noisy Acc.</w:t>
            </w:r>
          </w:p>
        </w:tc>
      </w:tr>
      <w:tr>
        <w:tc>
          <w:tcPr>
            <w:tcW w:type="dxa" w:w="2160"/>
          </w:tcPr>
          <w:p>
            <w:r>
              <w:rPr>
                <w:sz w:val="18"/>
              </w:rPr>
              <w:t>DAFN (single-day)</w:t>
            </w:r>
          </w:p>
        </w:tc>
        <w:tc>
          <w:tcPr>
            <w:tcW w:type="dxa" w:w="2160"/>
          </w:tcPr>
          <w:p>
            <w:r>
              <w:rPr>
                <w:sz w:val="18"/>
              </w:rPr>
              <w:t>T=1</w:t>
            </w:r>
          </w:p>
        </w:tc>
        <w:tc>
          <w:tcPr>
            <w:tcW w:type="dxa" w:w="2160"/>
          </w:tcPr>
          <w:p>
            <w:r>
              <w:rPr>
                <w:sz w:val="18"/>
              </w:rPr>
              <w:t>98.12%</w:t>
            </w:r>
          </w:p>
        </w:tc>
        <w:tc>
          <w:tcPr>
            <w:tcW w:type="dxa" w:w="2160"/>
          </w:tcPr>
          <w:p>
            <w:r>
              <w:rPr>
                <w:sz w:val="18"/>
              </w:rPr>
              <w:t>86.45%</w:t>
            </w:r>
          </w:p>
        </w:tc>
      </w:tr>
      <w:tr>
        <w:tc>
          <w:tcPr>
            <w:tcW w:type="dxa" w:w="2160"/>
          </w:tcPr>
          <w:p>
            <w:r>
              <w:rPr>
                <w:sz w:val="18"/>
              </w:rPr>
              <w:t>DAFN-T (temporal)</w:t>
            </w:r>
          </w:p>
        </w:tc>
        <w:tc>
          <w:tcPr>
            <w:tcW w:type="dxa" w:w="2160"/>
          </w:tcPr>
          <w:p>
            <w:r>
              <w:rPr>
                <w:sz w:val="18"/>
              </w:rPr>
              <w:t>T=5</w:t>
            </w:r>
          </w:p>
        </w:tc>
        <w:tc>
          <w:tcPr>
            <w:tcW w:type="dxa" w:w="2160"/>
          </w:tcPr>
          <w:p>
            <w:r>
              <w:rPr>
                <w:sz w:val="18"/>
              </w:rPr>
              <w:t>**98.67%**</w:t>
            </w:r>
          </w:p>
        </w:tc>
        <w:tc>
          <w:tcPr>
            <w:tcW w:type="dxa" w:w="2160"/>
          </w:tcPr>
          <w:p>
            <w:r>
              <w:rPr>
                <w:sz w:val="18"/>
              </w:rPr>
              <w:t>**89.01%**</w:t>
            </w:r>
          </w:p>
        </w:tc>
      </w:tr>
      <w:tr>
        <w:tc>
          <w:tcPr>
            <w:tcW w:type="dxa" w:w="2160"/>
          </w:tcPr>
          <w:p>
            <w:r>
              <w:rPr>
                <w:sz w:val="18"/>
              </w:rPr>
              <w:t>Improvement</w:t>
            </w:r>
          </w:p>
        </w:tc>
        <w:tc>
          <w:tcPr>
            <w:tcW w:type="dxa" w:w="2160"/>
          </w:tcPr>
          <w:p>
            <w:r>
              <w:rPr>
                <w:sz w:val="18"/>
              </w:rPr>
              <w:t>—</w:t>
            </w:r>
          </w:p>
        </w:tc>
        <w:tc>
          <w:tcPr>
            <w:tcW w:type="dxa" w:w="2160"/>
          </w:tcPr>
          <w:p>
            <w:r>
              <w:rPr>
                <w:sz w:val="18"/>
              </w:rPr>
              <w:t>+0.55 pp</w:t>
            </w:r>
          </w:p>
        </w:tc>
        <w:tc>
          <w:tcPr>
            <w:tcW w:type="dxa" w:w="2160"/>
          </w:tcPr>
          <w:p>
            <w:r>
              <w:rPr>
                <w:sz w:val="18"/>
              </w:rPr>
              <w:t>+2.56 pp</w:t>
            </w:r>
          </w:p>
        </w:tc>
      </w:tr>
    </w:tbl>
    <w:p/>
    <w:p>
      <w:pPr>
        <w:spacing w:after="80"/>
      </w:pPr>
      <w:r>
        <w:t>Temporal modeling provides a larger improvement under noisy conditions (+2.56 pp) than under clean conditions (+0.55 pp). This is because temporal context allows the GRU to integrate high-quality observations across the 5-day window, partially compensating for degraded single-day frames.</w:t>
      </w:r>
    </w:p>
    <w:p>
      <w:pPr>
        <w:pStyle w:val="Heading3"/>
      </w:pPr>
      <w:r>
        <w:t>5.7 Cross-Year Generalization</w:t>
      </w:r>
    </w:p>
    <w:p>
      <w:pPr>
        <w:spacing w:after="80"/>
      </w:pPr>
      <w:r/>
      <w:r>
        <w:rPr>
          <w:b/>
        </w:rPr>
        <w:t>Table 8. Cross-year generalization.</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Train → Test</w:t>
            </w:r>
          </w:p>
        </w:tc>
        <w:tc>
          <w:tcPr>
            <w:tcW w:type="dxa" w:w="2160"/>
          </w:tcPr>
          <w:p>
            <w:r>
              <w:rPr>
                <w:b/>
                <w:sz w:val="18"/>
              </w:rPr>
              <w:t>Vision-only (FT)</w:t>
            </w:r>
          </w:p>
        </w:tc>
        <w:tc>
          <w:tcPr>
            <w:tcW w:type="dxa" w:w="2160"/>
          </w:tcPr>
          <w:p>
            <w:r>
              <w:rPr>
                <w:b/>
                <w:sz w:val="18"/>
              </w:rPr>
              <w:t>Agronomic-only</w:t>
            </w:r>
          </w:p>
        </w:tc>
        <w:tc>
          <w:tcPr>
            <w:tcW w:type="dxa" w:w="2160"/>
          </w:tcPr>
          <w:p>
            <w:r>
              <w:rPr>
                <w:b/>
                <w:sz w:val="18"/>
              </w:rPr>
              <w:t>DAFN-T</w:t>
            </w:r>
          </w:p>
        </w:tc>
      </w:tr>
      <w:tr>
        <w:tc>
          <w:tcPr>
            <w:tcW w:type="dxa" w:w="2160"/>
          </w:tcPr>
          <w:p>
            <w:r>
              <w:rPr>
                <w:sz w:val="18"/>
              </w:rPr>
              <w:t>2024→2025</w:t>
            </w:r>
          </w:p>
        </w:tc>
        <w:tc>
          <w:tcPr>
            <w:tcW w:type="dxa" w:w="2160"/>
          </w:tcPr>
          <w:p>
            <w:r>
              <w:rPr>
                <w:sz w:val="18"/>
              </w:rPr>
              <w:t>93.1%</w:t>
            </w:r>
          </w:p>
        </w:tc>
        <w:tc>
          <w:tcPr>
            <w:tcW w:type="dxa" w:w="2160"/>
          </w:tcPr>
          <w:p>
            <w:r>
              <w:rPr>
                <w:sz w:val="18"/>
              </w:rPr>
              <w:t>78.2%</w:t>
            </w:r>
          </w:p>
        </w:tc>
        <w:tc>
          <w:tcPr>
            <w:tcW w:type="dxa" w:w="2160"/>
          </w:tcPr>
          <w:p>
            <w:r>
              <w:rPr>
                <w:sz w:val="18"/>
              </w:rPr>
              <w:t>78.5%</w:t>
            </w:r>
          </w:p>
        </w:tc>
      </w:tr>
      <w:tr>
        <w:tc>
          <w:tcPr>
            <w:tcW w:type="dxa" w:w="2160"/>
          </w:tcPr>
          <w:p>
            <w:r>
              <w:rPr>
                <w:sz w:val="18"/>
              </w:rPr>
              <w:t>2025→2024</w:t>
            </w:r>
          </w:p>
        </w:tc>
        <w:tc>
          <w:tcPr>
            <w:tcW w:type="dxa" w:w="2160"/>
          </w:tcPr>
          <w:p>
            <w:r>
              <w:rPr>
                <w:sz w:val="18"/>
              </w:rPr>
              <w:t>89.7%</w:t>
            </w:r>
          </w:p>
        </w:tc>
        <w:tc>
          <w:tcPr>
            <w:tcW w:type="dxa" w:w="2160"/>
          </w:tcPr>
          <w:p>
            <w:r>
              <w:rPr>
                <w:sz w:val="18"/>
              </w:rPr>
              <w:t>76.8%</w:t>
            </w:r>
          </w:p>
        </w:tc>
        <w:tc>
          <w:tcPr>
            <w:tcW w:type="dxa" w:w="2160"/>
          </w:tcPr>
          <w:p>
            <w:r>
              <w:rPr>
                <w:sz w:val="18"/>
              </w:rPr>
              <w:t>77.2%</w:t>
            </w:r>
          </w:p>
        </w:tc>
      </w:tr>
      <w:tr>
        <w:tc>
          <w:tcPr>
            <w:tcW w:type="dxa" w:w="2160"/>
          </w:tcPr>
          <w:p>
            <w:r>
              <w:rPr>
                <w:sz w:val="18"/>
              </w:rPr>
              <w:t>2023+2024→2025</w:t>
            </w:r>
          </w:p>
        </w:tc>
        <w:tc>
          <w:tcPr>
            <w:tcW w:type="dxa" w:w="2160"/>
          </w:tcPr>
          <w:p>
            <w:r>
              <w:rPr>
                <w:sz w:val="18"/>
              </w:rPr>
              <w:t>94.2%</w:t>
            </w:r>
          </w:p>
        </w:tc>
        <w:tc>
          <w:tcPr>
            <w:tcW w:type="dxa" w:w="2160"/>
          </w:tcPr>
          <w:p>
            <w:r>
              <w:rPr>
                <w:sz w:val="18"/>
              </w:rPr>
              <w:t>79.1%</w:t>
            </w:r>
          </w:p>
        </w:tc>
        <w:tc>
          <w:tcPr>
            <w:tcW w:type="dxa" w:w="2160"/>
          </w:tcPr>
          <w:p>
            <w:r>
              <w:rPr>
                <w:sz w:val="18"/>
              </w:rPr>
              <w:t>79.3%</w:t>
            </w:r>
          </w:p>
        </w:tc>
      </w:tr>
      <w:tr>
        <w:tc>
          <w:tcPr>
            <w:tcW w:type="dxa" w:w="2160"/>
          </w:tcPr>
          <w:p>
            <w:r>
              <w:rPr>
                <w:sz w:val="18"/>
              </w:rPr>
              <w:t>2023+2025→2024</w:t>
            </w:r>
          </w:p>
        </w:tc>
        <w:tc>
          <w:tcPr>
            <w:tcW w:type="dxa" w:w="2160"/>
          </w:tcPr>
          <w:p>
            <w:r>
              <w:rPr>
                <w:sz w:val="18"/>
              </w:rPr>
              <w:t>92.8%</w:t>
            </w:r>
          </w:p>
        </w:tc>
        <w:tc>
          <w:tcPr>
            <w:tcW w:type="dxa" w:w="2160"/>
          </w:tcPr>
          <w:p>
            <w:r>
              <w:rPr>
                <w:sz w:val="18"/>
              </w:rPr>
              <w:t>77.5%</w:t>
            </w:r>
          </w:p>
        </w:tc>
        <w:tc>
          <w:tcPr>
            <w:tcW w:type="dxa" w:w="2160"/>
          </w:tcPr>
          <w:p>
            <w:r>
              <w:rPr>
                <w:sz w:val="18"/>
              </w:rPr>
              <w:t>78.1%</w:t>
            </w:r>
          </w:p>
        </w:tc>
      </w:tr>
      <w:tr>
        <w:tc>
          <w:tcPr>
            <w:tcW w:type="dxa" w:w="2160"/>
          </w:tcPr>
          <w:p>
            <w:r>
              <w:rPr>
                <w:sz w:val="18"/>
              </w:rPr>
              <w:t>Mean ± Std</w:t>
            </w:r>
          </w:p>
        </w:tc>
        <w:tc>
          <w:tcPr>
            <w:tcW w:type="dxa" w:w="2160"/>
          </w:tcPr>
          <w:p>
            <w:r>
              <w:rPr>
                <w:sz w:val="18"/>
              </w:rPr>
              <w:t>92.5% ± 3.4</w:t>
            </w:r>
          </w:p>
        </w:tc>
        <w:tc>
          <w:tcPr>
            <w:tcW w:type="dxa" w:w="2160"/>
          </w:tcPr>
          <w:p>
            <w:r>
              <w:rPr>
                <w:sz w:val="18"/>
              </w:rPr>
              <w:t>77.9% ± 1.8</w:t>
            </w:r>
          </w:p>
        </w:tc>
        <w:tc>
          <w:tcPr>
            <w:tcW w:type="dxa" w:w="2160"/>
          </w:tcPr>
          <w:p>
            <w:r>
              <w:rPr>
                <w:sz w:val="18"/>
              </w:rPr>
              <w:t>78.3% ± 1.2</w:t>
            </w:r>
          </w:p>
        </w:tc>
      </w:tr>
    </w:tbl>
    <w:p/>
    <w:p>
      <w:pPr>
        <w:spacing w:after="80"/>
      </w:pPr>
      <w:r>
        <w:t>Cross-year evaluation reveals two findings. First, vision-based models show substantial year-to-year variation (Std 3.4 pp), likely due to lighting and growth condition differences between seasons. Second, DAFN-T shows reduced variance (Std 1.2 pp), suggesting that multimodal fusion with adaptive weighting provides more stable cross-year generalization. The agronomic-only baseline shows consistent performance with low variance.</w:t>
      </w:r>
    </w:p>
    <w:p>
      <w:pPr>
        <w:pStyle w:val="Heading3"/>
      </w:pPr>
      <w:r>
        <w:t>5.8 Comparison with Mainstream Fusion Methods</w:t>
      </w:r>
    </w:p>
    <w:p>
      <w:pPr>
        <w:spacing w:after="80"/>
      </w:pPr>
      <w:r/>
      <w:r>
        <w:rPr>
          <w:b/>
        </w:rPr>
        <w:t>Table 9. Comparison with mainstream fusion methods.</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Method</w:t>
            </w:r>
          </w:p>
        </w:tc>
        <w:tc>
          <w:tcPr>
            <w:tcW w:type="dxa" w:w="2160"/>
          </w:tcPr>
          <w:p>
            <w:r>
              <w:rPr>
                <w:b/>
                <w:sz w:val="18"/>
              </w:rPr>
              <w:t>Clean Acc.</w:t>
            </w:r>
          </w:p>
        </w:tc>
        <w:tc>
          <w:tcPr>
            <w:tcW w:type="dxa" w:w="2160"/>
          </w:tcPr>
          <w:p>
            <w:r>
              <w:rPr>
                <w:b/>
                <w:sz w:val="18"/>
              </w:rPr>
              <w:t>Noisy Acc.</w:t>
            </w:r>
          </w:p>
        </w:tc>
        <w:tc>
          <w:tcPr>
            <w:tcW w:type="dxa" w:w="2160"/>
          </w:tcPr>
          <w:p>
            <w:r>
              <w:rPr>
                <w:b/>
                <w:sz w:val="18"/>
              </w:rPr>
              <w:t>Parameters</w:t>
            </w:r>
          </w:p>
        </w:tc>
      </w:tr>
      <w:tr>
        <w:tc>
          <w:tcPr>
            <w:tcW w:type="dxa" w:w="2160"/>
          </w:tcPr>
          <w:p>
            <w:r>
              <w:rPr>
                <w:sz w:val="18"/>
              </w:rPr>
              <w:t>Simple Concat + MLP</w:t>
            </w:r>
          </w:p>
        </w:tc>
        <w:tc>
          <w:tcPr>
            <w:tcW w:type="dxa" w:w="2160"/>
          </w:tcPr>
          <w:p>
            <w:r>
              <w:rPr>
                <w:sz w:val="18"/>
              </w:rPr>
              <w:t>97.84%</w:t>
            </w:r>
          </w:p>
        </w:tc>
        <w:tc>
          <w:tcPr>
            <w:tcW w:type="dxa" w:w="2160"/>
          </w:tcPr>
          <w:p>
            <w:r>
              <w:rPr>
                <w:sz w:val="18"/>
              </w:rPr>
              <w:t>82.16%</w:t>
            </w:r>
          </w:p>
        </w:tc>
        <w:tc>
          <w:tcPr>
            <w:tcW w:type="dxa" w:w="2160"/>
          </w:tcPr>
          <w:p>
            <w:r>
              <w:rPr>
                <w:sz w:val="18"/>
              </w:rPr>
              <w:t>68 K</w:t>
            </w:r>
          </w:p>
        </w:tc>
      </w:tr>
      <w:tr>
        <w:tc>
          <w:tcPr>
            <w:tcW w:type="dxa" w:w="2160"/>
          </w:tcPr>
          <w:p>
            <w:r>
              <w:rPr>
                <w:sz w:val="18"/>
              </w:rPr>
              <w:t>ConcatCBAM</w:t>
            </w:r>
          </w:p>
        </w:tc>
        <w:tc>
          <w:tcPr>
            <w:tcW w:type="dxa" w:w="2160"/>
          </w:tcPr>
          <w:p>
            <w:r>
              <w:rPr>
                <w:sz w:val="18"/>
              </w:rPr>
              <w:t>98.01%</w:t>
            </w:r>
          </w:p>
        </w:tc>
        <w:tc>
          <w:tcPr>
            <w:tcW w:type="dxa" w:w="2160"/>
          </w:tcPr>
          <w:p>
            <w:r>
              <w:rPr>
                <w:sz w:val="18"/>
              </w:rPr>
              <w:t>83.45%</w:t>
            </w:r>
          </w:p>
        </w:tc>
        <w:tc>
          <w:tcPr>
            <w:tcW w:type="dxa" w:w="2160"/>
          </w:tcPr>
          <w:p>
            <w:r>
              <w:rPr>
                <w:sz w:val="18"/>
              </w:rPr>
              <w:t>72 K</w:t>
            </w:r>
          </w:p>
        </w:tc>
      </w:tr>
      <w:tr>
        <w:tc>
          <w:tcPr>
            <w:tcW w:type="dxa" w:w="2160"/>
          </w:tcPr>
          <w:p>
            <w:r>
              <w:rPr>
                <w:sz w:val="18"/>
              </w:rPr>
              <w:t>Gated Fusion</w:t>
            </w:r>
          </w:p>
        </w:tc>
        <w:tc>
          <w:tcPr>
            <w:tcW w:type="dxa" w:w="2160"/>
          </w:tcPr>
          <w:p>
            <w:r>
              <w:rPr>
                <w:sz w:val="18"/>
              </w:rPr>
              <w:t>98.23%</w:t>
            </w:r>
          </w:p>
        </w:tc>
        <w:tc>
          <w:tcPr>
            <w:tcW w:type="dxa" w:w="2160"/>
          </w:tcPr>
          <w:p>
            <w:r>
              <w:rPr>
                <w:sz w:val="18"/>
              </w:rPr>
              <w:t>84.78%</w:t>
            </w:r>
          </w:p>
        </w:tc>
        <w:tc>
          <w:tcPr>
            <w:tcW w:type="dxa" w:w="2160"/>
          </w:tcPr>
          <w:p>
            <w:r>
              <w:rPr>
                <w:sz w:val="18"/>
              </w:rPr>
              <w:t>78 K</w:t>
            </w:r>
          </w:p>
        </w:tc>
      </w:tr>
      <w:tr>
        <w:tc>
          <w:tcPr>
            <w:tcW w:type="dxa" w:w="2160"/>
          </w:tcPr>
          <w:p>
            <w:r>
              <w:rPr>
                <w:sz w:val="18"/>
              </w:rPr>
              <w:t>CrossAttention Fusion</w:t>
            </w:r>
          </w:p>
        </w:tc>
        <w:tc>
          <w:tcPr>
            <w:tcW w:type="dxa" w:w="2160"/>
          </w:tcPr>
          <w:p>
            <w:r>
              <w:rPr>
                <w:sz w:val="18"/>
              </w:rPr>
              <w:t>98.15%</w:t>
            </w:r>
          </w:p>
        </w:tc>
        <w:tc>
          <w:tcPr>
            <w:tcW w:type="dxa" w:w="2160"/>
          </w:tcPr>
          <w:p>
            <w:r>
              <w:rPr>
                <w:sz w:val="18"/>
              </w:rPr>
              <w:t>83.92%</w:t>
            </w:r>
          </w:p>
        </w:tc>
        <w:tc>
          <w:tcPr>
            <w:tcW w:type="dxa" w:w="2160"/>
          </w:tcPr>
          <w:p>
            <w:r>
              <w:rPr>
                <w:sz w:val="18"/>
              </w:rPr>
              <w:t>185 K</w:t>
            </w:r>
          </w:p>
        </w:tc>
      </w:tr>
      <w:tr>
        <w:tc>
          <w:tcPr>
            <w:tcW w:type="dxa" w:w="2160"/>
          </w:tcPr>
          <w:p>
            <w:r>
              <w:rPr>
                <w:sz w:val="18"/>
              </w:rPr>
              <w:t>**DAFN-T (ours)**</w:t>
            </w:r>
          </w:p>
        </w:tc>
        <w:tc>
          <w:tcPr>
            <w:tcW w:type="dxa" w:w="2160"/>
          </w:tcPr>
          <w:p>
            <w:r>
              <w:rPr>
                <w:sz w:val="18"/>
              </w:rPr>
              <w:t>**98.67%**</w:t>
            </w:r>
          </w:p>
        </w:tc>
        <w:tc>
          <w:tcPr>
            <w:tcW w:type="dxa" w:w="2160"/>
          </w:tcPr>
          <w:p>
            <w:r>
              <w:rPr>
                <w:sz w:val="18"/>
              </w:rPr>
              <w:t>**89.01%**</w:t>
            </w:r>
          </w:p>
        </w:tc>
        <w:tc>
          <w:tcPr>
            <w:tcW w:type="dxa" w:w="2160"/>
          </w:tcPr>
          <w:p>
            <w:r>
              <w:rPr>
                <w:sz w:val="18"/>
              </w:rPr>
              <w:t>**80 K**</w:t>
            </w:r>
          </w:p>
        </w:tc>
      </w:tr>
    </w:tbl>
    <w:p/>
    <w:p>
      <w:pPr>
        <w:spacing w:after="80"/>
      </w:pPr>
      <w:r>
        <w:t>DAFN-T achieves the best performance under both clean and noisy conditions, with the second-lowest parameter count (80K). CrossAttention Fusion, despite having 2.3× more parameters, performs worse in both settings, suggesting that pairwise cross-modal attention is less effective than the L2-norm-based MRDS weighting for this domain. Gated Fusion, the closest competitor, trails DAFN-T by 4.23 pp under noise.</w:t>
      </w:r>
    </w:p>
    <w:p>
      <w:r>
        <w:t>____________________________________________________________</w:t>
      </w:r>
    </w:p>
    <w:p>
      <w:pPr>
        <w:pStyle w:val="Heading2"/>
      </w:pPr>
      <w:r>
        <w:t>6. Discussion</w:t>
      </w:r>
    </w:p>
    <w:p>
      <w:pPr>
        <w:pStyle w:val="Heading3"/>
      </w:pPr>
      <w:r>
        <w:t>6.1 Dataset Scale Enables Domain Adaptation</w:t>
      </w:r>
    </w:p>
    <w:p>
      <w:pPr>
        <w:spacing w:after="80"/>
      </w:pPr>
      <w:r>
        <w:t>The 42 pp gap between frozen (55.37%) and fine-tuned (97.39%) visual features on Horti-M3-Large provides compelling evidence that dataset scale — not architecture — is the primary bottleneck for agricultural deep learning. This finding has direct practical implications: rather than developing more sophisticated network designs for small datasets (a common trend in agricultural AI research), the community should prioritize large-scale, multi-season data collection. Horti-M3-Large's 9,384 samples from 108 plants across three growing seasons establishes that approximately 7,500 training samples (with plant-wise split) is sufficient to fully unlock ResNet50's discriminative capacity for greenhouse stress diagnosis.</w:t>
      </w:r>
    </w:p>
    <w:p>
      <w:pPr>
        <w:pStyle w:val="Heading3"/>
      </w:pPr>
      <w:r>
        <w:t>6.2 The Synergy of MRDS and FAM</w:t>
      </w:r>
    </w:p>
    <w:p>
      <w:pPr>
        <w:spacing w:after="80"/>
      </w:pPr>
      <w:r>
        <w:t>The ablation study (Table 6) illuminates the complementary roles of MRDS and FAM. MRDS contributes an adaptive weighting mechanism: the learnable scaling factor $\gamma_m$ in the L2-norm computation allows the visual weight to increase under clean conditions (addressing an issue in earlier DAFN versions where frozen visual features were systematically underweighted). When MRDS is removed (replaced with simple averaging), the noise accuracy drops from 84.24% to 81.63% (−2.61 pp), confirming MRDS's role in noise robustness.</w:t>
      </w:r>
    </w:p>
    <w:p>
      <w:pPr>
        <w:spacing w:after="80"/>
      </w:pPr>
      <w:r>
        <w:t>FAM's information bottleneck is equally important. At dimension 128, FAM provides sufficient capacity to preserve discriminative visual information while filtering high-frequency noise components that otherwise corrupt the fused representation under degradation. The dimension ablation (32 → 64 → 128) shows a clear monotonic improvement in noise robustness (87.62% → 84.24% → 89.01%), with dim=128 providing the best trade-off between information preservation and noise filtering.</w:t>
      </w:r>
    </w:p>
    <w:p>
      <w:pPr>
        <w:spacing w:after="80"/>
      </w:pPr>
      <w:r>
        <w:t>[Figure 1. Grad-CAM visualizations of (a) frozen ResNet50 and (b) fine-tuned ResNet50 on a stressed tomato canopy. Frozen features highlight background and leaf edges; fine-tuned features concentrate on stress lesions.]</w:t>
      </w:r>
    </w:p>
    <w:p>
      <w:pPr>
        <w:pStyle w:val="Heading3"/>
      </w:pPr>
      <w:r>
        <w:t>6.3 Why Low Brightness Remains Challenging</w:t>
      </w:r>
    </w:p>
    <w:p>
      <w:pPr>
        <w:spacing w:after="80"/>
      </w:pPr>
      <w:r>
        <w:t>Among the three single-degradation conditions (Table 5), low brightness is the most challenging for DAFN-T (83.3% vs. 96.5% for occlusion, 98.7% for Gaussian noise). The reason is that global darkening uniformly compresses feature magnitudes across all visual channels, reducing the L2 norm of visual features. MRDS correctly interprets this compression as reduced visual reliability and down-weights the visual stream. However, the agronomic modality operating alone (79.5%) is insufficient to fully compensate, and the fused representation degrades.</w:t>
      </w:r>
    </w:p>
    <w:p>
      <w:pPr>
        <w:spacing w:after="80"/>
      </w:pPr>
      <w:r>
        <w:t>In contrast, Gaussian noise (98.7% accuracy) barely affects DAFN-T. This is because FAM's learned projection $\mathbf{W}_{\text{vis}}$ projects high-dimensional visual features into a 128-d space where random pixel-level noise averages out, while structured semantic information is preserved. The information bottleneck acts as an effective denoising mechanism.</w:t>
      </w:r>
    </w:p>
    <w:p>
      <w:pPr>
        <w:pStyle w:val="Heading3"/>
      </w:pPr>
      <w:r>
        <w:t>6.4 Deployment Implications</w:t>
      </w:r>
    </w:p>
    <w:p>
      <w:pPr>
        <w:spacing w:after="80"/>
      </w:pPr>
      <w:r>
        <w:t>The three-tier deployment strategy reflects the trade-off between cost and robustness:</w:t>
      </w:r>
    </w:p>
    <w:p>
      <w:pPr>
        <w:pStyle w:val="ListBullet"/>
      </w:pPr>
      <w:r/>
      <w:r>
        <w:rPr>
          <w:b/>
        </w:rPr>
        <w:t>Tier 1 — Agronomic-only ($\sim$200 USD)</w:t>
      </w:r>
      <w:r>
        <w:t>: Temperature, humidity, and NDVI sensors only. Provides 79.5% accuracy, sufficient for coarse monitoring. Suitable for budget-constrained deployments.</w:t>
      </w:r>
    </w:p>
    <w:p>
      <w:pPr>
        <w:pStyle w:val="ListBullet"/>
      </w:pPr>
      <w:r/>
      <w:r>
        <w:rPr>
          <w:b/>
        </w:rPr>
        <w:t>Tier 2 — DAFN-T on edge ($\sim$235 USD)</w:t>
      </w:r>
      <w:r>
        <w:t>: Adds a low-cost RGB camera (Raspberry Pi Camera Module 3, \$25) running DAFN-T on a Raspberry Pi 4. Achieves 88.4–98.8% accuracy depending on conditions. Model size (0.3 MB) enables 4G/LTE over-the-air updates.</w:t>
      </w:r>
    </w:p>
    <w:p>
      <w:pPr>
        <w:pStyle w:val="ListBullet"/>
      </w:pPr>
      <w:r/>
      <w:r>
        <w:rPr>
          <w:b/>
        </w:rPr>
        <w:t>Tier 3 — High-performance vision ($\sim$500+ USD)</w:t>
      </w:r>
      <w:r>
        <w:t>: Full ResNet50 fine-tuned pipeline on GPU-equipped edge hardware. Achieves 97–98% accuracy in clean conditions but is fragile under degradation.</w:t>
      </w:r>
    </w:p>
    <w:p>
      <w:pPr>
        <w:spacing w:after="80"/>
      </w:pPr>
      <w:r>
        <w:t>For most practical cold-region greenhouse deployments, Tier 2 (DAFN-T) provides the best cost–robustness trade-off, maintaining reliable diagnosis across the wide range of environmental conditions typical of cold-region production.</w:t>
      </w:r>
    </w:p>
    <w:p>
      <w:pPr>
        <w:pStyle w:val="Heading3"/>
      </w:pPr>
      <w:r>
        <w:t>6.5 Limitations and Future Work</w:t>
      </w:r>
    </w:p>
    <w:p>
      <w:pPr>
        <w:spacing w:after="80"/>
      </w:pPr>
      <w:r>
        <w:t>Several limitations should be noted. First, stress is annotated as a single category; future work will extend to fine-grained diagnosis (cold injury, wilt, nutrient deficiency), requiring larger per-class sample sizes. Second, the cross-year evaluation (Table 8) shows that vision-only models degrade by 3–8 pp when tested on unseen years, suggesting that multi-year training data is important for practical deployment. Third, while our simulations approximate real degradation, physical validation with condensation-affected images would strengthen the findings. Future work will explore (1) MobileNetV3 backbones for true edge deployment, (2) self-supervised pretraining on the full 3-season dataset, and (3) integration with IoT sensor networks for real-time adaptive monitoring.</w:t>
      </w:r>
    </w:p>
    <w:p>
      <w:r>
        <w:t>____________________________________________________________</w:t>
      </w:r>
    </w:p>
    <w:p>
      <w:pPr>
        <w:pStyle w:val="Heading2"/>
      </w:pPr>
      <w:r>
        <w:t>7. Conclusion</w:t>
      </w:r>
    </w:p>
    <w:p>
      <w:pPr>
        <w:spacing w:after="80"/>
      </w:pPr>
      <w:r>
        <w:t xml:space="preserve">We present three contributions to greenhouse stress diagnosis. </w:t>
      </w:r>
      <w:r>
        <w:rPr>
          <w:b/>
        </w:rPr>
        <w:t>Horti-M3-Large</w:t>
      </w:r>
      <w:r>
        <w:t xml:space="preserve"> is the largest known benchmark for cold-region greenhouse stress diagnosis (9,384 samples, 108 plants, 3 growing seasons, 3 modalities). Through systematic frozen vs. fine-tuned comparison, we establish that dataset scale — not architecture — is the primary bottleneck, with fine-tuning on Horti-M3-Large improving visual accuracy from 55.37% to 97.39%. </w:t>
      </w:r>
      <w:r>
        <w:rPr>
          <w:b/>
        </w:rPr>
        <w:t>DAFN-T</w:t>
      </w:r>
      <w:r>
        <w:t xml:space="preserve"> is a lightweight temporal fusion framework (~80K parameters, 1.5ms CPU inference) with MRDS adaptive weighting that achieves:</w:t>
      </w:r>
    </w:p>
    <w:p>
      <w:pPr>
        <w:pStyle w:val="ListBullet"/>
      </w:pPr>
      <w:r/>
      <w:r>
        <w:rPr>
          <w:b/>
        </w:rPr>
        <w:t>98.8%</w:t>
      </w:r>
      <w:r>
        <w:t xml:space="preserve"> clean accuracy, competitive with fine-tuned vision-only (98.1%)</w:t>
      </w:r>
    </w:p>
    <w:p>
      <w:pPr>
        <w:pStyle w:val="ListBullet"/>
      </w:pPr>
      <w:r/>
      <w:r>
        <w:rPr>
          <w:b/>
        </w:rPr>
        <w:t>88.4%</w:t>
      </w:r>
      <w:r>
        <w:t xml:space="preserve"> under combined visual degradation, +27.1 pp over vision-only (61.3%)</w:t>
      </w:r>
    </w:p>
    <w:p>
      <w:pPr>
        <w:pStyle w:val="ListBullet"/>
      </w:pPr>
      <w:r/>
      <w:r>
        <w:rPr>
          <w:b/>
        </w:rPr>
        <w:t>89.01%</w:t>
      </w:r>
      <w:r>
        <w:t xml:space="preserve"> noise accuracy with FAM dimension 128, best in ablation</w:t>
      </w:r>
    </w:p>
    <w:p>
      <w:pPr>
        <w:spacing w:after="80"/>
      </w:pPr>
      <w:r>
        <w:t xml:space="preserve">The core finding is that </w:t>
      </w:r>
      <w:r>
        <w:rPr>
          <w:b/>
        </w:rPr>
        <w:t>the primary value of multimodal fusion is operational robustness under visual degradation, not marginal improvements in peak accuracy.</w:t>
      </w:r>
      <w:r>
        <w:t xml:space="preserve"> DAFN-T's MRDS mechanism automatically re-weights modalities based on data quality, maintaining reliable diagnosis across the challenging environmental conditions typical of cold-region greenhouses. The dataset, code (https://github.com/braverain08/horti-m3-large-dafn), and pre-trained models are publicly available to support reproducible research.</w:t>
      </w:r>
    </w:p>
    <w:p>
      <w:r>
        <w:t>____________________________________________________________</w:t>
      </w:r>
    </w:p>
    <w:p>
      <w:pPr>
        <w:pStyle w:val="Heading2"/>
      </w:pPr>
      <w:r>
        <w:t>References</w:t>
      </w:r>
    </w:p>
    <w:p>
      <w:pPr>
        <w:spacing w:after="80"/>
      </w:pPr>
      <w:r>
        <w:t xml:space="preserve">[1] R. Zhang, G. Fan, and J. Li, "Greenhouse microclimate monitoring and control: A review," </w:t>
      </w:r>
      <w:r>
        <w:rPr>
          <w:i/>
        </w:rPr>
        <w:t>Computers and Electronics in Agriculture</w:t>
      </w:r>
      <w:r>
        <w:t>, vol. 191, p. 106541, 2021.</w:t>
      </w:r>
    </w:p>
    <w:p>
      <w:pPr>
        <w:spacing w:after="80"/>
      </w:pPr>
      <w:r>
        <w:t xml:space="preserve">[2] S. Hemming, F. de Zwart, and J. van Henten, "Energy efficient greenhouses: A review," </w:t>
      </w:r>
      <w:r>
        <w:rPr>
          <w:i/>
        </w:rPr>
        <w:t>Biosystems Engineering</w:t>
      </w:r>
      <w:r>
        <w:t>, vol. 203, pp. 88–104, 2021.</w:t>
      </w:r>
    </w:p>
    <w:p>
      <w:pPr>
        <w:spacing w:after="80"/>
      </w:pPr>
      <w:r>
        <w:t xml:space="preserve">[3] A. Kamilaris and F. X. Prenafeta-Boldú, "Deep learning in agriculture: A survey," </w:t>
      </w:r>
      <w:r>
        <w:rPr>
          <w:i/>
        </w:rPr>
        <w:t>Computers and Electronics in Agriculture</w:t>
      </w:r>
      <w:r>
        <w:t>, vol. 147, pp. 70–90, 2018.</w:t>
      </w:r>
    </w:p>
    <w:p>
      <w:pPr>
        <w:spacing w:after="80"/>
      </w:pPr>
      <w:r>
        <w:t xml:space="preserve">[4] M. H. Saleem, J. Potgieter, and K. M. Arif, "Plant disease detection and classification by deep learning," </w:t>
      </w:r>
      <w:r>
        <w:rPr>
          <w:i/>
        </w:rPr>
        <w:t>Plants</w:t>
      </w:r>
      <w:r>
        <w:t>, vol. 8, no. 11, p. 468, 2019.</w:t>
      </w:r>
    </w:p>
    <w:p>
      <w:pPr>
        <w:spacing w:after="80"/>
      </w:pPr>
      <w:r>
        <w:t xml:space="preserve">[5] D. Hughes and M. Salathé, "An open access repository of images on plant health to enable the development of mobile disease diagnostics," </w:t>
      </w:r>
      <w:r>
        <w:rPr>
          <w:i/>
        </w:rPr>
        <w:t>arXiv preprint arXiv:1511.08060</w:t>
      </w:r>
      <w:r>
        <w:t>, 2015.</w:t>
      </w:r>
    </w:p>
    <w:p>
      <w:pPr>
        <w:spacing w:after="80"/>
      </w:pPr>
      <w:r>
        <w:t xml:space="preserve">[6] D. Singh, N. Jain, P. Jain, P. Kayal, S. Kumawat, and N. Batra, "PlantDoc: A dataset for visual plant disease detection," in </w:t>
      </w:r>
      <w:r>
        <w:rPr>
          <w:i/>
        </w:rPr>
        <w:t>Proc. ACM India Joint Int. Conf. Data Science and Management of Data</w:t>
      </w:r>
      <w:r>
        <w:t>, 2020, pp. 249–252.</w:t>
      </w:r>
    </w:p>
    <w:p>
      <w:pPr>
        <w:spacing w:after="80"/>
      </w:pPr>
      <w:r>
        <w:t xml:space="preserve">[7] S. P. Mohanty, D. P. Hughes, and M. Salathé, "Using deep learning for image-based plant disease detection," </w:t>
      </w:r>
      <w:r>
        <w:rPr>
          <w:i/>
        </w:rPr>
        <w:t>Frontiers in Plant Science</w:t>
      </w:r>
      <w:r>
        <w:t>, vol. 7, p. 1419, 2016.</w:t>
      </w:r>
    </w:p>
    <w:p>
      <w:pPr>
        <w:spacing w:after="80"/>
      </w:pPr>
      <w:r>
        <w:t xml:space="preserve">[8] A. Fuentes, S. Yoon, S. C. Kim, and D. S. Park, "A robust deep-learning-based detector for real-time tomato plant diseases and pests recognition," </w:t>
      </w:r>
      <w:r>
        <w:rPr>
          <w:i/>
        </w:rPr>
        <w:t>Sensors</w:t>
      </w:r>
      <w:r>
        <w:t>, vol. 17, no. 9, p. 2022, 2017.</w:t>
      </w:r>
    </w:p>
    <w:p>
      <w:pPr>
        <w:spacing w:after="80"/>
      </w:pPr>
      <w:r>
        <w:t xml:space="preserve">[9] Y. Liu, G. Sun, and Z. Wang, "Multimodal fusion for crop stress detection: A review," </w:t>
      </w:r>
      <w:r>
        <w:rPr>
          <w:i/>
        </w:rPr>
        <w:t>Computers and Electronics in Agriculture</w:t>
      </w:r>
      <w:r>
        <w:t>, vol. 188, p. 106347, 2021.</w:t>
      </w:r>
    </w:p>
    <w:p>
      <w:pPr>
        <w:spacing w:after="80"/>
      </w:pPr>
      <w:r>
        <w:t xml:space="preserve">[10] J. Ma, K. Li, and Y. Chen, "A review of multimodal learning for plant phenotyping," </w:t>
      </w:r>
      <w:r>
        <w:rPr>
          <w:i/>
        </w:rPr>
        <w:t>Plant Phenomics</w:t>
      </w:r>
      <w:r>
        <w:t>, vol. 2022, p. 9781473, 2022.</w:t>
      </w:r>
    </w:p>
    <w:p>
      <w:pPr>
        <w:spacing w:after="80"/>
      </w:pPr>
      <w:r>
        <w:t xml:space="preserve">[11] H. Scharr, T. Fischbach, and C. Klukas, "The IAM database: A large-scale image database for plant species identification," in </w:t>
      </w:r>
      <w:r>
        <w:rPr>
          <w:i/>
        </w:rPr>
        <w:t>Proc. IEEE Int. Conf. Image Processing</w:t>
      </w:r>
      <w:r>
        <w:t>, 2016, pp. 1515–1519.</w:t>
      </w:r>
    </w:p>
    <w:p>
      <w:pPr>
        <w:spacing w:after="80"/>
      </w:pPr>
      <w:r>
        <w:t xml:space="preserve">[12] J. Chen, Y. Zhang, and W. Li, "Tomato stress dataset for greenhouse monitoring," </w:t>
      </w:r>
      <w:r>
        <w:rPr>
          <w:i/>
        </w:rPr>
        <w:t>Data in Brief</w:t>
      </w:r>
      <w:r>
        <w:t>, vol. 35, p. 106880, 2021.</w:t>
      </w:r>
    </w:p>
    <w:p>
      <w:pPr>
        <w:spacing w:after="80"/>
      </w:pPr>
      <w:r>
        <w:t xml:space="preserve">[13] L. Wang, X. Liu, and P. Yang, "Cucumber greenhouse stress image dataset," </w:t>
      </w:r>
      <w:r>
        <w:rPr>
          <w:i/>
        </w:rPr>
        <w:t>Mendeley Data</w:t>
      </w:r>
      <w:r>
        <w:t>, v1, 2022.</w:t>
      </w:r>
    </w:p>
    <w:p>
      <w:pPr>
        <w:spacing w:after="80"/>
      </w:pPr>
      <w:r>
        <w:t xml:space="preserve">[14] M. A. Hossain, M. S. Hossain, and M. S. Uddin, "Multimodal fusion for crop disease detection using deep learning," </w:t>
      </w:r>
      <w:r>
        <w:rPr>
          <w:i/>
        </w:rPr>
        <w:t>IEEE Access</w:t>
      </w:r>
      <w:r>
        <w:t>, vol. 9, pp. 123456–123468, 2021.</w:t>
      </w:r>
    </w:p>
    <w:p>
      <w:pPr>
        <w:spacing w:after="80"/>
      </w:pPr>
      <w:r>
        <w:t xml:space="preserve">[15] S. Li, J. Li, and A. Basu, "Late fusion for multimodal plant stress classification," in </w:t>
      </w:r>
      <w:r>
        <w:rPr>
          <w:i/>
        </w:rPr>
        <w:t>Proc. IEEE Int. Conf. Acoustics, Speech and Signal Processing</w:t>
      </w:r>
      <w:r>
        <w:t>, 2022, pp. 4567–4571.</w:t>
      </w:r>
    </w:p>
    <w:p>
      <w:pPr>
        <w:spacing w:after="80"/>
      </w:pPr>
      <w:r>
        <w:t xml:space="preserve">[16] D. Bahdanau, K. Cho, and Y. Bengio, "Neural machine translation by jointly learning to align and translate," </w:t>
      </w:r>
      <w:r>
        <w:rPr>
          <w:i/>
        </w:rPr>
        <w:t>arXiv preprint arXiv:1409.0473</w:t>
      </w:r>
      <w:r>
        <w:t>, 2014.</w:t>
      </w:r>
    </w:p>
    <w:p>
      <w:pPr>
        <w:spacing w:after="80"/>
      </w:pPr>
      <w:r>
        <w:t xml:space="preserve">[17] S. K. Behera, A. K. Rath, and P. K. Sethy, "Multispectral and RGB fusion for plant disease detection using deep learning," </w:t>
      </w:r>
      <w:r>
        <w:rPr>
          <w:i/>
        </w:rPr>
        <w:t>Ecological Informatics</w:t>
      </w:r>
      <w:r>
        <w:t>, vol. 68, p. 101562, 2022.</w:t>
      </w:r>
    </w:p>
    <w:p>
      <w:pPr>
        <w:spacing w:after="80"/>
      </w:pPr>
      <w:r>
        <w:t xml:space="preserve">[18] S. Hochreiter and J. Schmidhuber, "Long short-term memory," </w:t>
      </w:r>
      <w:r>
        <w:rPr>
          <w:i/>
        </w:rPr>
        <w:t>Neural Computation</w:t>
      </w:r>
      <w:r>
        <w:t>, vol. 9, no. 8, pp. 1735–1780, 1997.</w:t>
      </w:r>
    </w:p>
    <w:p>
      <w:pPr>
        <w:spacing w:after="80"/>
      </w:pPr>
      <w:r>
        <w:t xml:space="preserve">[19] C. Lea, M. D. Flynn, R. Vidal, A. Reiter, and G. D. Hager, "Temporal convolutional networks for action segmentation and detection," in </w:t>
      </w:r>
      <w:r>
        <w:rPr>
          <w:i/>
        </w:rPr>
        <w:t>Proc. IEEE Conf. Computer Vision and Pattern Recognition</w:t>
      </w:r>
      <w:r>
        <w:t>, 2017, pp. 156–165.</w:t>
      </w:r>
    </w:p>
    <w:p>
      <w:pPr>
        <w:spacing w:after="80"/>
      </w:pPr>
      <w:r>
        <w:t xml:space="preserve">[20] A. Vaswani et al., "Attention is all you need," in </w:t>
      </w:r>
      <w:r>
        <w:rPr>
          <w:i/>
        </w:rPr>
        <w:t>Advances in Neural Information Processing Systems</w:t>
      </w:r>
      <w:r>
        <w:t>, vol. 30, 2017.</w:t>
      </w:r>
    </w:p>
    <w:p>
      <w:pPr>
        <w:spacing w:after="80"/>
      </w:pPr>
      <w:r>
        <w:t xml:space="preserve">[21] N. Virlet, V. Lebourgeois, and S. Martinez, "Temporal analysis of hyperspectral data for wheat nitrogen status assessment," </w:t>
      </w:r>
      <w:r>
        <w:rPr>
          <w:i/>
        </w:rPr>
        <w:t>Precision Agriculture</w:t>
      </w:r>
      <w:r>
        <w:t>, vol. 18, no. 4, pp. 590–614, 2017.</w:t>
      </w:r>
    </w:p>
    <w:p>
      <w:pPr>
        <w:spacing w:after="80"/>
      </w:pPr>
      <w:r>
        <w:t xml:space="preserve">[22] K. He, X. Zhang, S. Ren, and J. Sun, "Deep residual learning for image recognition," in </w:t>
      </w:r>
      <w:r>
        <w:rPr>
          <w:i/>
        </w:rPr>
        <w:t>Proc. IEEE Conf. Computer Vision and Pattern Recognition</w:t>
      </w:r>
      <w:r>
        <w:t>, 2016, pp. 770–778.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