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</w:pPr>
      <w:r>
        <w:rPr>
          <w:lang w:val="en-US"/>
        </w:rPr>
        <w:t>Adjustment Faktur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5"/>
        <w:jc w:val="left"/>
        <w:rPr>
          <w:lang w:val="en-US"/>
        </w:rPr>
      </w:pPr>
      <w:r>
        <w:rPr>
          <w:i/>
          <w:lang w:val="en-US"/>
        </w:rPr>
        <w:t xml:space="preserve">Adjustment faktur </w:t>
      </w:r>
      <w:r>
        <w:rPr>
          <w:i w:val="0"/>
          <w:iCs/>
          <w:lang w:val="en-US"/>
        </w:rPr>
        <w:t>adalah</w:t>
      </w:r>
      <w:r>
        <w:rPr>
          <w:i/>
          <w:lang w:val="en-US"/>
        </w:rPr>
        <w:t xml:space="preserve"> </w:t>
      </w:r>
      <w:r>
        <w:t xml:space="preserve">modul yang mencatat </w:t>
      </w:r>
      <w:r>
        <w:rPr>
          <w:lang w:val="en-US"/>
        </w:rPr>
        <w:t>perubahan harga barang di PO dengan invoice Supplier. Dimodul ini akan dilakukan penyesuaian harga PO sehingga nilai PO sama dengan Invoice Supplier</w:t>
      </w:r>
    </w:p>
    <w:p>
      <w:pPr>
        <w:pStyle w:val="3"/>
      </w:pPr>
      <w:r>
        <w:t xml:space="preserve">Scope (RuangLingkup) </w:t>
      </w:r>
    </w:p>
    <w:p>
      <w:pPr>
        <w:pStyle w:val="35"/>
        <w:jc w:val="left"/>
      </w:pPr>
      <w:r>
        <w:t xml:space="preserve">Semua isi yang tercantum di dokumen ini adalah bagian dari ruang lingkup kebutuhan pembuatan modul / form </w:t>
      </w:r>
      <w:r>
        <w:rPr>
          <w:i/>
          <w:lang w:val="en-US"/>
        </w:rPr>
        <w:t>AdjustmentFaktur</w:t>
      </w:r>
      <w:r>
        <w:t>, di samping itu secara spesifik ruang lingkup pembuatan fitur / modul ini adalah sbb: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Adjustment Faktur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t xml:space="preserve">Cetak </w:t>
      </w:r>
      <w:r>
        <w:rPr>
          <w:lang w:val="en-US"/>
        </w:rPr>
        <w:t>Adjustment Faktur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Listing Adjustment Faktur</w:t>
      </w:r>
    </w:p>
    <w:p>
      <w:pPr>
        <w:pStyle w:val="3"/>
      </w:pPr>
      <w:r>
        <w:t>Definitions, Acronyms, and Abbreviations (Definisi, Istilah, dan Singkatan)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 xml:space="preserve">PO </w:t>
      </w:r>
      <w:r>
        <w:tab/>
      </w:r>
      <w:r>
        <w:tab/>
      </w:r>
      <w:r>
        <w:t>: Purchase Order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Colie</w:t>
      </w:r>
      <w:r>
        <w:tab/>
      </w:r>
      <w:r>
        <w:tab/>
      </w:r>
      <w:r>
        <w:t xml:space="preserve">: Jumlah </w:t>
      </w:r>
      <w:r>
        <w:rPr>
          <w:lang w:val="en-US"/>
        </w:rPr>
        <w:t xml:space="preserve">qty </w:t>
      </w:r>
      <w:r>
        <w:t>semua barang walaupun beda satuan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PPN</w:t>
      </w:r>
      <w:r>
        <w:tab/>
      </w:r>
      <w:r>
        <w:tab/>
      </w:r>
      <w:r>
        <w:t>: Pajak Pertambahan Nilai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PPNBM</w:t>
      </w:r>
      <w:r>
        <w:tab/>
      </w:r>
      <w:r>
        <w:rPr>
          <w:lang w:val="en-US"/>
        </w:rPr>
        <w:tab/>
      </w:r>
      <w:r>
        <w:t>: Pajak Pertambahan Nilai Barang Mewah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TOP</w:t>
      </w:r>
      <w:r>
        <w:tab/>
      </w:r>
      <w:r>
        <w:tab/>
      </w:r>
      <w:r>
        <w:t>: Term Of Payment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GR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Goods Receiving, Penerimaan Barang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DO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Delivery Order, sama dengan GR namun dari sudut pandang supplier</w:t>
      </w:r>
    </w:p>
    <w:p>
      <w:pPr>
        <w:pStyle w:val="35"/>
        <w:ind w:left="851"/>
        <w:jc w:val="left"/>
      </w:pPr>
    </w:p>
    <w:p>
      <w:pPr>
        <w:pStyle w:val="3"/>
      </w:pPr>
      <w:r>
        <w:t>References (Referensi)</w:t>
      </w:r>
    </w:p>
    <w:p>
      <w:pPr>
        <w:pStyle w:val="35"/>
        <w:ind w:left="720"/>
      </w:pPr>
    </w:p>
    <w:p>
      <w:pPr>
        <w:pStyle w:val="3"/>
      </w:pPr>
      <w:r>
        <w:t>Overview (Gambaran Umum Dokumen)</w:t>
      </w:r>
    </w:p>
    <w:p>
      <w:pPr>
        <w:pStyle w:val="35"/>
        <w:jc w:val="left"/>
      </w:pPr>
      <w:r>
        <w:t>Menjadi informasi dasar yang mengidentifikasikan modul Goods Receiving.</w:t>
      </w:r>
    </w:p>
    <w:p>
      <w:pPr>
        <w:pStyle w:val="35"/>
        <w:jc w:val="left"/>
      </w:pPr>
      <w:r>
        <w:t>Kebutuhan Konsep dan teknis pengembangan atas modul ini akan dibahas pada bagian Supporting Information.</w:t>
      </w:r>
    </w:p>
    <w:p>
      <w:pPr>
        <w:pStyle w:val="2"/>
      </w:pPr>
      <w:r>
        <w:t>Supporting Information</w:t>
      </w:r>
    </w:p>
    <w:p>
      <w:pPr>
        <w:pStyle w:val="3"/>
      </w:pPr>
      <w:r>
        <w:rPr>
          <w:lang w:val="en-US"/>
        </w:rPr>
        <w:t>Use Case</w:t>
      </w:r>
    </w:p>
    <w:p>
      <w:r>
        <w:drawing>
          <wp:inline distT="0" distB="0" distL="114300" distR="114300">
            <wp:extent cx="3333750" cy="20193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/>
    <w:p>
      <w:pPr>
        <w:pStyle w:val="40"/>
        <w:ind w:hanging="54"/>
      </w:pPr>
      <w:r>
        <w:drawing>
          <wp:inline distT="0" distB="0" distL="114300" distR="114300">
            <wp:extent cx="6562725" cy="30099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</w:pPr>
      <w:r>
        <w:t>PDM (Physical Data Model)</w:t>
      </w:r>
    </w:p>
    <w:p>
      <w:pPr>
        <w:pStyle w:val="35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5"/>
      </w:pPr>
      <w:r>
        <w:t>Diusahakan menggunkan komponen DevExpress.</w:t>
      </w:r>
    </w:p>
    <w:p>
      <w:pPr>
        <w:pStyle w:val="4"/>
      </w:pPr>
      <w:r>
        <w:t>Graphical User Interface</w:t>
      </w:r>
    </w:p>
    <w:p>
      <w:pPr>
        <w:pStyle w:val="5"/>
        <w:numPr>
          <w:ilvl w:val="3"/>
          <w:numId w:val="4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  <w:lang w:val="en-US"/>
        </w:rPr>
        <w:t>Browse  Adjustment Faktur</w:t>
      </w:r>
    </w:p>
    <w:p/>
    <w:p>
      <w:pPr>
        <w:ind w:left="1170"/>
      </w:pPr>
      <w:r>
        <w:drawing>
          <wp:inline distT="0" distB="0" distL="114300" distR="114300">
            <wp:extent cx="6283960" cy="3997325"/>
            <wp:effectExtent l="0" t="0" r="254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  <w:rPr>
          <w:b/>
          <w:bCs/>
          <w:lang w:val="en-US"/>
        </w:rPr>
      </w:pPr>
      <w:r>
        <w:rPr>
          <w:b/>
          <w:bCs/>
          <w:lang w:val="en-US"/>
        </w:rPr>
        <w:t>Dialog Adjustment Faktur</w:t>
      </w:r>
    </w:p>
    <w:p>
      <w:pPr>
        <w:ind w:left="1170"/>
      </w:pPr>
      <w:r>
        <w:drawing>
          <wp:inline distT="0" distB="0" distL="114300" distR="114300">
            <wp:extent cx="6142990" cy="4123690"/>
            <wp:effectExtent l="0" t="0" r="10160" b="1016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5"/>
        <w:numPr>
          <w:ilvl w:val="0"/>
          <w:numId w:val="5"/>
        </w:numPr>
        <w:ind w:left="1560"/>
        <w:jc w:val="left"/>
      </w:pPr>
      <w:r>
        <w:rPr>
          <w:lang w:val="en-US"/>
        </w:rPr>
        <w:t xml:space="preserve">Data yang bisa diedit hanya kolom </w:t>
      </w:r>
      <w:r>
        <w:rPr>
          <w:i/>
          <w:iCs/>
          <w:lang w:val="en-US"/>
        </w:rPr>
        <w:t>Qty Receipt</w:t>
      </w:r>
      <w:r>
        <w:rPr>
          <w:lang w:val="en-US"/>
        </w:rPr>
        <w:t xml:space="preserve"> dan </w:t>
      </w:r>
      <w:r>
        <w:rPr>
          <w:i/>
          <w:iCs/>
          <w:lang w:val="en-US"/>
        </w:rPr>
        <w:t>Unit Price</w:t>
      </w:r>
    </w:p>
    <w:p>
      <w:pPr>
        <w:pStyle w:val="35"/>
        <w:numPr>
          <w:ilvl w:val="0"/>
          <w:numId w:val="5"/>
        </w:numPr>
        <w:ind w:left="1560"/>
        <w:jc w:val="left"/>
      </w:pPr>
      <w:r>
        <w:t>Petunjuk Pengisian Propert</w:t>
      </w:r>
    </w:p>
    <w:p>
      <w:pPr>
        <w:pStyle w:val="35"/>
        <w:ind w:left="1560"/>
        <w:jc w:val="left"/>
        <w:rPr>
          <w:b/>
          <w:lang w:val="en-US"/>
        </w:rPr>
      </w:pPr>
      <w:r>
        <w:rPr>
          <w:b/>
          <w:lang w:val="en-US"/>
        </w:rPr>
        <w:t>ADJUSTMENT FAKTUR</w:t>
      </w:r>
    </w:p>
    <w:p>
      <w:pPr>
        <w:pStyle w:val="35"/>
        <w:ind w:left="1560"/>
        <w:jc w:val="left"/>
        <w:rPr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AdjustmentFakturItems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List of AdjustmentFakturItem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ADJFAK_DATE_POSTED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TDateTime, Default null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ADJFAK_DATE_RCV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TDateTime, DO.DO_DATE;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TModDO;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ADJFAK_IS_JURNAL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Integer, default 0;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ADJFAK_IS_POSTED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Integer, default 0;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ADJFAK_NO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String, No Bukti Adj Faktur, Unique;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TModPO;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ADJFAK_PPN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ADJFAK_PPNBM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ADJFAK_REF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String;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ADJFAK_Suplier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: </w:t>
      </w:r>
      <w:bookmarkStart w:id="0" w:name="OLE_LINK2"/>
      <w:r>
        <w:rPr>
          <w:rFonts w:hint="default"/>
          <w:b w:val="0"/>
          <w:bCs/>
          <w:lang w:val="en-US"/>
        </w:rPr>
        <w:t>TModSupplier</w:t>
      </w:r>
      <w:bookmarkEnd w:id="0"/>
      <w:r>
        <w:rPr>
          <w:rFonts w:hint="default"/>
          <w:b w:val="0"/>
          <w:bCs/>
          <w:lang w:val="en-US"/>
        </w:rPr>
        <w:t>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ADJFAK_SuplierMerchanGroup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TModSupplierMG;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ADJFAK_TOTAL_AFTER_DISC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ADJFAK_TOTAL_ADJ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: ADJFAK_TOTAL_AFTER_DISC + ADJFAK_PPN + 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  ADJFAK_PPNBM;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</w:p>
    <w:p>
      <w:pPr>
        <w:pStyle w:val="35"/>
        <w:ind w:left="1560"/>
        <w:jc w:val="left"/>
        <w:rPr>
          <w:b/>
        </w:rPr>
      </w:pPr>
      <w:r>
        <w:rPr>
          <w:rFonts w:hint="default"/>
          <w:b w:val="0"/>
          <w:bCs/>
          <w:lang w:val="en-US"/>
        </w:rPr>
        <w:t>ADJFAK_UNIT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TModUnit;</w:t>
      </w:r>
    </w:p>
    <w:p>
      <w:pPr>
        <w:pStyle w:val="35"/>
        <w:ind w:left="1560"/>
        <w:jc w:val="left"/>
        <w:rPr>
          <w:b/>
        </w:rPr>
      </w:pPr>
      <w:r>
        <w:rPr>
          <w:b/>
          <w:lang w:val="en-US"/>
        </w:rPr>
        <w:t>ADJUSTMENT FAKTUR ITEM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AFD_</w:t>
      </w:r>
      <w:r>
        <w:rPr>
          <w:rFonts w:hint="default"/>
        </w:rPr>
        <w:t>BARANG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TModBarang;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</w:t>
      </w:r>
      <w:r>
        <w:rPr>
          <w:rFonts w:hint="default"/>
          <w:lang w:val="en-US"/>
        </w:rPr>
        <w:t>PPNBM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D_PPN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Rupiah;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_DISC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</w:t>
      </w:r>
      <w:r>
        <w:rPr>
          <w:rFonts w:hint="default"/>
          <w:lang w:val="en-US"/>
        </w:rPr>
        <w:t>ADJ_</w:t>
      </w:r>
      <w:r>
        <w:rPr>
          <w:rFonts w:hint="default"/>
        </w:rPr>
        <w:t>DISC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 xml:space="preserve">DOITEM.DISC - AFD_DISC 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</w:t>
      </w:r>
      <w:r>
        <w:rPr>
          <w:rFonts w:hint="default"/>
          <w:lang w:val="en-US"/>
        </w:rPr>
        <w:t>PRICE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Rupiah;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</w:t>
      </w:r>
      <w:r>
        <w:rPr>
          <w:rFonts w:hint="default"/>
          <w:lang w:val="en-US"/>
        </w:rPr>
        <w:t>ADJ_PRICE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>DOITEM.PRICE - AFD_PRICE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_DO</w:t>
      </w:r>
      <w:r>
        <w:rPr>
          <w:rFonts w:hint="default"/>
          <w:lang w:val="en-US"/>
        </w:rPr>
        <w:t>ITEM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TModDO</w:t>
      </w:r>
      <w:r>
        <w:rPr>
          <w:rFonts w:hint="default"/>
          <w:lang w:val="en-US"/>
        </w:rPr>
        <w:t>Item;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D_QTY</w:t>
      </w:r>
      <w:r>
        <w:rPr>
          <w:rFonts w:hint="default"/>
          <w:lang w:val="en-US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Double, </w:t>
      </w:r>
      <w:r>
        <w:rPr>
          <w:rFonts w:hint="default"/>
          <w:lang w:val="en-US"/>
        </w:rPr>
        <w:t>D</w:t>
      </w:r>
      <w:r>
        <w:rPr>
          <w:rFonts w:hint="default"/>
        </w:rPr>
        <w:t>O.</w:t>
      </w:r>
      <w:r>
        <w:rPr>
          <w:rFonts w:hint="default"/>
          <w:lang w:val="en-US"/>
        </w:rPr>
        <w:t>D</w:t>
      </w:r>
      <w:r>
        <w:rPr>
          <w:rFonts w:hint="default"/>
        </w:rPr>
        <w:t>OITEM.Qty;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AFD_SATUAN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TModSatuan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bookmarkStart w:id="1" w:name="OLE_LINK1"/>
      <w:r>
        <w:rPr>
          <w:rFonts w:hint="default"/>
          <w:lang w:val="en-US"/>
        </w:rPr>
        <w:t>AFD_VAL_ADJ_AFTER_DISC</w:t>
      </w:r>
      <w:bookmarkEnd w:id="1"/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AFD_PRICE - AFD_DISC;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AFD_VAL_ADJ_PPN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AFD_VAL_ADJ_AFTER_DISC * 10%;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AFD_VAL_ADJ_PPNBM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0;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AFD_VAL_ADJ_TOTAL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AFD_QTY * (AFD_VAL_ADJ_AFTER_DISC + AFD_VAL_PPN);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</w:p>
    <w:p>
      <w:pPr>
        <w:pStyle w:val="35"/>
        <w:numPr>
          <w:ilvl w:val="0"/>
          <w:numId w:val="6"/>
        </w:numPr>
        <w:ind w:left="1530"/>
      </w:pPr>
      <w:r>
        <w:rPr>
          <w:lang w:val="en-US"/>
        </w:rPr>
        <w:t>Adjustment Slip</w:t>
      </w:r>
    </w:p>
    <w:p>
      <w:pPr>
        <w:pStyle w:val="35"/>
        <w:numPr>
          <w:ilvl w:val="0"/>
          <w:numId w:val="0"/>
        </w:numPr>
        <w:ind w:left="720" w:leftChars="0" w:firstLine="720" w:firstLineChars="0"/>
        <w:rPr>
          <w:lang w:val="en-US"/>
        </w:rPr>
      </w:pPr>
      <w:r>
        <w:rPr>
          <w:lang w:val="en-US"/>
        </w:rPr>
        <w:t>As Seen in form dialog</w:t>
      </w:r>
    </w:p>
    <w:p>
      <w:pPr>
        <w:pStyle w:val="35"/>
        <w:numPr>
          <w:ilvl w:val="0"/>
          <w:numId w:val="6"/>
        </w:numPr>
        <w:ind w:left="1530"/>
      </w:pPr>
      <w:r>
        <w:rPr>
          <w:lang w:val="en-US"/>
        </w:rPr>
        <w:t>Adjustment Faktur List</w:t>
      </w:r>
    </w:p>
    <w:p>
      <w:pPr>
        <w:pStyle w:val="35"/>
        <w:numPr>
          <w:ilvl w:val="0"/>
          <w:numId w:val="0"/>
        </w:numPr>
        <w:spacing w:after="160" w:line="360" w:lineRule="auto"/>
        <w:ind w:left="720" w:leftChars="0" w:firstLine="720" w:firstLineChars="0"/>
        <w:contextualSpacing/>
        <w:jc w:val="both"/>
        <w:rPr>
          <w:lang w:val="en-US"/>
        </w:rPr>
      </w:pPr>
      <w:r>
        <w:drawing>
          <wp:inline distT="0" distB="0" distL="114300" distR="114300">
            <wp:extent cx="6057265" cy="3580765"/>
            <wp:effectExtent l="0" t="0" r="635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numId w:val="0"/>
        </w:numPr>
      </w:pPr>
      <w:bookmarkStart w:id="2" w:name="_GoBack"/>
      <w:bookmarkEnd w:id="2"/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2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F3213"/>
    <w:multiLevelType w:val="multilevel"/>
    <w:tmpl w:val="128F321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3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B35D91"/>
    <w:rsid w:val="049A327A"/>
    <w:rsid w:val="05585452"/>
    <w:rsid w:val="05BD6470"/>
    <w:rsid w:val="07503143"/>
    <w:rsid w:val="094839EA"/>
    <w:rsid w:val="099B6713"/>
    <w:rsid w:val="0B7B7784"/>
    <w:rsid w:val="0E931628"/>
    <w:rsid w:val="0E952A01"/>
    <w:rsid w:val="0F311AC0"/>
    <w:rsid w:val="0FD16794"/>
    <w:rsid w:val="12412B43"/>
    <w:rsid w:val="167C14BF"/>
    <w:rsid w:val="1BF029BF"/>
    <w:rsid w:val="1DDB2AA9"/>
    <w:rsid w:val="1E4921D0"/>
    <w:rsid w:val="1F634B46"/>
    <w:rsid w:val="22A93DE0"/>
    <w:rsid w:val="23DB511A"/>
    <w:rsid w:val="248A267B"/>
    <w:rsid w:val="25B10923"/>
    <w:rsid w:val="25F71BF4"/>
    <w:rsid w:val="27CA3B11"/>
    <w:rsid w:val="29EC246C"/>
    <w:rsid w:val="2B6D775B"/>
    <w:rsid w:val="2DC930F1"/>
    <w:rsid w:val="2E711370"/>
    <w:rsid w:val="2F3C17D8"/>
    <w:rsid w:val="32475871"/>
    <w:rsid w:val="3717206A"/>
    <w:rsid w:val="391A49F6"/>
    <w:rsid w:val="39A649A8"/>
    <w:rsid w:val="3A7D1846"/>
    <w:rsid w:val="3C9B1B65"/>
    <w:rsid w:val="3E067652"/>
    <w:rsid w:val="3FA90082"/>
    <w:rsid w:val="40FE466F"/>
    <w:rsid w:val="41CB317A"/>
    <w:rsid w:val="427A710E"/>
    <w:rsid w:val="42EE39E4"/>
    <w:rsid w:val="439B47D0"/>
    <w:rsid w:val="48102E1F"/>
    <w:rsid w:val="4952734D"/>
    <w:rsid w:val="4B8607D6"/>
    <w:rsid w:val="51D446B8"/>
    <w:rsid w:val="56F969A0"/>
    <w:rsid w:val="5B18791C"/>
    <w:rsid w:val="5B3F62F0"/>
    <w:rsid w:val="5EED2551"/>
    <w:rsid w:val="5EEF0796"/>
    <w:rsid w:val="622911B0"/>
    <w:rsid w:val="667E5920"/>
    <w:rsid w:val="68EC0218"/>
    <w:rsid w:val="69A97AAD"/>
    <w:rsid w:val="6CA112CA"/>
    <w:rsid w:val="6D292625"/>
    <w:rsid w:val="6D467FF6"/>
    <w:rsid w:val="6D486E82"/>
    <w:rsid w:val="6E1D7DE1"/>
    <w:rsid w:val="6F38215B"/>
    <w:rsid w:val="70A04981"/>
    <w:rsid w:val="72007B5C"/>
    <w:rsid w:val="72094731"/>
    <w:rsid w:val="745A178D"/>
    <w:rsid w:val="769034C3"/>
    <w:rsid w:val="77911024"/>
    <w:rsid w:val="7ADC48C4"/>
    <w:rsid w:val="7B185361"/>
    <w:rsid w:val="7CF503E6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1"/>
    <w:basedOn w:val="17"/>
    <w:qFormat/>
    <w:uiPriority w:val="60"/>
    <w:pPr>
      <w:spacing w:after="0" w:line="240" w:lineRule="auto"/>
    </w:pPr>
    <w:rPr>
      <w:color w:val="2E75B5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1">
    <w:name w:val="Light Shading Accent 2"/>
    <w:basedOn w:val="17"/>
    <w:qFormat/>
    <w:uiPriority w:val="60"/>
    <w:pPr>
      <w:spacing w:after="0" w:line="240" w:lineRule="auto"/>
    </w:pPr>
    <w:rPr>
      <w:color w:val="C559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2">
    <w:name w:val="Header Char"/>
    <w:basedOn w:val="15"/>
    <w:link w:val="13"/>
    <w:qFormat/>
    <w:uiPriority w:val="99"/>
  </w:style>
  <w:style w:type="character" w:customStyle="1" w:styleId="23">
    <w:name w:val="Footer Char"/>
    <w:basedOn w:val="15"/>
    <w:link w:val="12"/>
    <w:qFormat/>
    <w:uiPriority w:val="99"/>
  </w:style>
  <w:style w:type="character" w:customStyle="1" w:styleId="24">
    <w:name w:val="Placeholder Text"/>
    <w:basedOn w:val="15"/>
    <w:semiHidden/>
    <w:qFormat/>
    <w:uiPriority w:val="99"/>
    <w:rPr>
      <w:color w:val="808080"/>
    </w:rPr>
  </w:style>
  <w:style w:type="character" w:customStyle="1" w:styleId="25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6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7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8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9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customStyle="1" w:styleId="30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</w:rPr>
  </w:style>
  <w:style w:type="character" w:customStyle="1" w:styleId="31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E4D78" w:themeColor="accent1" w:themeShade="7F"/>
    </w:rPr>
  </w:style>
  <w:style w:type="character" w:customStyle="1" w:styleId="32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character" w:customStyle="1" w:styleId="33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character" w:customStyle="1" w:styleId="34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paragraph" w:customStyle="1" w:styleId="35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7">
    <w:name w:val="Body Text+3"/>
    <w:basedOn w:val="36"/>
    <w:next w:val="36"/>
    <w:qFormat/>
    <w:uiPriority w:val="99"/>
    <w:rPr>
      <w:color w:val="auto"/>
    </w:rPr>
  </w:style>
  <w:style w:type="character" w:customStyle="1" w:styleId="38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9">
    <w:name w:val="Heading 2+3"/>
    <w:basedOn w:val="36"/>
    <w:next w:val="36"/>
    <w:qFormat/>
    <w:uiPriority w:val="99"/>
    <w:rPr>
      <w:rFonts w:ascii="Arial" w:hAnsi="Arial" w:cs="Arial"/>
      <w:color w:val="auto"/>
    </w:rPr>
  </w:style>
  <w:style w:type="paragraph" w:customStyle="1" w:styleId="40">
    <w:name w:val="After Heading 3"/>
    <w:basedOn w:val="1"/>
    <w:link w:val="41"/>
    <w:qFormat/>
    <w:uiPriority w:val="0"/>
    <w:pPr>
      <w:ind w:left="414" w:firstLine="720"/>
    </w:pPr>
    <w:rPr>
      <w:u w:val="single"/>
    </w:rPr>
  </w:style>
  <w:style w:type="character" w:customStyle="1" w:styleId="41">
    <w:name w:val="After Heading 3 Char"/>
    <w:basedOn w:val="15"/>
    <w:link w:val="40"/>
    <w:qFormat/>
    <w:uiPriority w:val="0"/>
    <w:rPr>
      <w:u w:val="single"/>
    </w:rPr>
  </w:style>
  <w:style w:type="character" w:customStyle="1" w:styleId="42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F7254-A34D-408F-85E7-FC37DE11C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3360</Characters>
  <Lines>28</Lines>
  <Paragraphs>7</Paragraphs>
  <ScaleCrop>false</ScaleCrop>
  <LinksUpToDate>false</LinksUpToDate>
  <CharactersWithSpaces>3942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2017-05-02T07:35:00Z</dcterms:created>
  <dc:creator>SA</dc:creator>
  <cp:lastModifiedBy>bprasojo</cp:lastModifiedBy>
  <dcterms:modified xsi:type="dcterms:W3CDTF">2017-08-11T07:03:58Z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