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Contrabon Sales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Contrabon Sales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penjualan kontrabon per hari. Data penjualan kontrabonini nanti akan dijadikan dasar dalam pembuatan klaim kontrabon.</w:t>
      </w:r>
    </w:p>
    <w:p>
      <w:pPr>
        <w:pStyle w:val="35"/>
        <w:jc w:val="left"/>
        <w:rPr>
          <w:lang w:val="en-US"/>
        </w:rPr>
      </w:pPr>
    </w:p>
    <w:p>
      <w:pPr>
        <w:pStyle w:val="35"/>
        <w:jc w:val="left"/>
        <w:rPr>
          <w:lang w:val="en-US"/>
        </w:rPr>
      </w:pPr>
      <w:r>
        <w:rPr>
          <w:lang w:val="en-US"/>
        </w:rPr>
        <w:t>Penjualan kontrabon adalah penjualan atas barang kontrabon. Barang kontrabon adalah barang yang dijual oleh sebuah toko yang bertempat di Assalam Hypermarket.Pembayaran atas pembelian barang kontrabon melalui POS Assalam Hypermarket.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Contrabon Sales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Contrabon Sales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Contrabon Sales Group By Supplier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Rekap Contrabon Sales per Supplier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Contrabon</w:t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Barang Titipan, Non Stock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/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2447925" cy="24955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Contrabon Sales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  <w:r>
        <w:drawing>
          <wp:inline distT="0" distB="0" distL="114300" distR="114300">
            <wp:extent cx="6252845" cy="4168775"/>
            <wp:effectExtent l="0" t="0" r="1460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  <w:rPr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Contrabon Sales</w:t>
      </w:r>
    </w:p>
    <w:p>
      <w:pPr>
        <w:ind w:left="1170"/>
      </w:pPr>
      <w:bookmarkStart w:id="2" w:name="_GoBack"/>
      <w:bookmarkEnd w:id="2"/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93980</wp:posOffset>
            </wp:positionV>
            <wp:extent cx="6029325" cy="4105275"/>
            <wp:effectExtent l="0" t="0" r="9525" b="9525"/>
            <wp:wrapTopAndBottom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Supplier MG dipilih dari daftar supplier yang tersedia 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Contrabon Sales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Contrabon Sales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ilvl w:val="0"/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Contrabon Sales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C50C14"/>
    <w:rsid w:val="1BF029BF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D775B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40FE466F"/>
    <w:rsid w:val="41CB317A"/>
    <w:rsid w:val="425F311F"/>
    <w:rsid w:val="427A710E"/>
    <w:rsid w:val="42EE39E4"/>
    <w:rsid w:val="439B47D0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2017-09-11T09:31:49Z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