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(done)</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(under development)</w:t>
      </w:r>
    </w:p>
    <w:p>
      <w:pPr>
        <w:pStyle w:val="ListParagraph"/>
        <w:numPr>
          <w:ilvl w:val="0"/>
          <w:numId w:val="1"/>
        </w:numPr>
        <w:rPr/>
      </w:pPr>
      <w:r>
        <w:rPr/>
        <w:t>Loan classification details – for interest to be fixed and not maximum</w:t>
      </w:r>
      <w:r>
        <w:rPr>
          <w:color w:val="3333FF"/>
        </w:rPr>
        <w:t xml:space="preserve"> (done)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highlight w:val="yellow"/>
        </w:rPr>
        <w:t>(done)</w:t>
      </w:r>
    </w:p>
    <w:p>
      <w:pPr>
        <w:pStyle w:val="ListParagraph"/>
        <w:numPr>
          <w:ilvl w:val="0"/>
          <w:numId w:val="4"/>
        </w:numPr>
        <w:rPr/>
      </w:pPr>
      <w:r>
        <w:rPr/>
        <w:t xml:space="preserve">I cannot add new parent group under group list </w:t>
      </w:r>
      <w:bookmarkStart w:id="0" w:name="__DdeLink__274_1169997070"/>
      <w:r>
        <w:rPr>
          <w:color w:val="3333FF"/>
        </w:rPr>
        <w:t>(done)</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(fixed - done)</w:t>
      </w:r>
      <w:r>
        <w:rPr/>
        <w:t xml:space="preserve"> </w:t>
      </w:r>
    </w:p>
    <w:p>
      <w:pPr>
        <w:pStyle w:val="ListParagraph"/>
        <w:numPr>
          <w:ilvl w:val="0"/>
          <w:numId w:val="4"/>
        </w:numPr>
        <w:rPr/>
      </w:pPr>
      <w:r>
        <w:rPr/>
        <w:t xml:space="preserve">Branch under loan classification details should be fixed since it will display the account type </w:t>
      </w:r>
      <w:r>
        <w:rPr>
          <w:color w:val="3333FF"/>
        </w:rPr>
        <w:t>(for clarification on next demo)</w:t>
      </w:r>
      <w:r>
        <w:rPr/>
        <w:t xml:space="preserve"> </w:t>
      </w:r>
    </w:p>
    <w:p>
      <w:pPr>
        <w:pStyle w:val="ListParagraph"/>
        <w:numPr>
          <w:ilvl w:val="0"/>
          <w:numId w:val="4"/>
        </w:numPr>
        <w:rPr/>
      </w:pPr>
      <w:r>
        <w:rPr/>
        <w:t xml:space="preserve">Purpose of loan under application details should have a drop down list </w:t>
      </w:r>
      <w:r>
        <w:rPr>
          <w:color w:val="3333FF"/>
        </w:rPr>
        <w:t>(done)</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(to be managed by users)</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Approval should not be saved if no recommendations or if approved amount is more than the recommended amount, it shall require override and with short explanation why such application was approved beyond the recommended amount.</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r>
        <w:rPr>
          <w:color w:val="3333FF"/>
        </w:rPr>
        <w:t>(I’m not really sure how the cash card works but does a cash card work like a debit card?)</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 and managed by the company)</w:t>
      </w:r>
    </w:p>
    <w:p>
      <w:pPr>
        <w:pStyle w:val="ListParagraph"/>
        <w:numPr>
          <w:ilvl w:val="0"/>
          <w:numId w:val="1"/>
        </w:numPr>
        <w:rPr/>
      </w:pPr>
      <w:r>
        <w:rPr/>
        <w:t xml:space="preserve">Loan acct type – must be incorporated in the loan classification details </w:t>
      </w:r>
      <w:r>
        <w:rPr>
          <w:color w:val="3333FF"/>
        </w:rPr>
        <w:t>(done)</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(done)</w:t>
      </w:r>
    </w:p>
    <w:p>
      <w:pPr>
        <w:pStyle w:val="ListParagraph"/>
        <w:ind w:left="1080" w:hanging="0"/>
        <w:rPr>
          <w:u w:val="single"/>
        </w:rPr>
      </w:pPr>
      <w:r>
        <w:rPr>
          <w:highlight w:val="yellow"/>
          <w:u w:val="single"/>
        </w:rPr>
        <w:t>January 17 Demo</w:t>
      </w:r>
    </w:p>
    <w:p>
      <w:pPr>
        <w:pStyle w:val="ListParagraph"/>
        <w:numPr>
          <w:ilvl w:val="1"/>
          <w:numId w:val="1"/>
        </w:numPr>
        <w:rPr/>
      </w:pPr>
      <w:r>
        <w:rPr/>
        <w:t xml:space="preserve">Please consider adding boxes for Assessment Details instead of Remarks we will add 6 boxes for the following narrative report: </w:t>
      </w:r>
      <w:r>
        <w:rPr>
          <w:color w:val="3333FF"/>
        </w:rPr>
        <w:t>(done)</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(done – however, delete won’t be allowed)</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(done)</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xml:space="preserve">- no longer needed, please delete the educational attainment of reference data also contact number of immediate head is not necessary since this was not reflected in the application form. </w:t>
      </w:r>
      <w:r>
        <w:rPr>
          <w:color w:val="3333FF"/>
        </w:rPr>
        <w:t>(done)</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pPr>
        <w:pStyle w:val="ListParagraph"/>
        <w:numPr>
          <w:ilvl w:val="0"/>
          <w:numId w:val="2"/>
        </w:numPr>
        <w:rPr/>
      </w:pPr>
      <w:r>
        <w:rPr/>
        <w:t xml:space="preserve">Disable Landlord and its corresponding contact number if present address is not rented </w:t>
      </w:r>
      <w:r>
        <w:rPr>
          <w:color w:val="3333FF"/>
        </w:rPr>
        <w:t xml:space="preserve">(done) </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(done but needs to be discussed)</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40" w:type="dxa"/>
        <w:tblCellMar>
          <w:top w:w="0" w:type="dxa"/>
          <w:left w:w="68"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68" w:type="dxa"/>
            </w:tcMar>
          </w:tcPr>
          <w:p>
            <w:pPr>
              <w:pStyle w:val="Normal"/>
              <w:spacing w:lineRule="auto" w:line="240" w:before="0" w:after="0"/>
              <w:jc w:val="center"/>
              <w:rPr>
                <w:b/>
                <w:b/>
              </w:rPr>
            </w:pPr>
            <w:r>
              <w:rPr>
                <w:b/>
              </w:rPr>
              <w:t>Loan Type</w:t>
            </w:r>
          </w:p>
        </w:tc>
        <w:tc>
          <w:tcPr>
            <w:tcW w:w="1870" w:type="dxa"/>
            <w:tcBorders/>
            <w:shd w:color="auto" w:fill="auto" w:val="clear"/>
            <w:tcMar>
              <w:left w:w="68" w:type="dxa"/>
            </w:tcMar>
          </w:tcPr>
          <w:p>
            <w:pPr>
              <w:pStyle w:val="Normal"/>
              <w:spacing w:lineRule="auto" w:line="240" w:before="0" w:after="0"/>
              <w:jc w:val="center"/>
              <w:rPr>
                <w:b/>
                <w:b/>
              </w:rPr>
            </w:pPr>
            <w:r>
              <w:rPr>
                <w:b/>
              </w:rPr>
              <w:t>Parent Group</w:t>
            </w:r>
          </w:p>
        </w:tc>
        <w:tc>
          <w:tcPr>
            <w:tcW w:w="1870" w:type="dxa"/>
            <w:tcBorders/>
            <w:shd w:color="auto" w:fill="auto" w:val="clear"/>
            <w:tcMar>
              <w:left w:w="68" w:type="dxa"/>
            </w:tcMar>
          </w:tcPr>
          <w:p>
            <w:pPr>
              <w:pStyle w:val="Normal"/>
              <w:spacing w:lineRule="auto" w:line="240" w:before="0" w:after="0"/>
              <w:jc w:val="center"/>
              <w:rPr>
                <w:b/>
                <w:b/>
              </w:rPr>
            </w:pPr>
            <w:r>
              <w:rPr>
                <w:b/>
              </w:rPr>
              <w:t>Group</w:t>
            </w:r>
          </w:p>
        </w:tc>
        <w:tc>
          <w:tcPr>
            <w:tcW w:w="1870" w:type="dxa"/>
            <w:tcBorders/>
            <w:shd w:color="auto" w:fill="auto" w:val="clear"/>
            <w:tcMar>
              <w:left w:w="68" w:type="dxa"/>
            </w:tcMar>
          </w:tcPr>
          <w:p>
            <w:pPr>
              <w:pStyle w:val="Normal"/>
              <w:spacing w:lineRule="auto" w:line="240" w:before="0" w:after="0"/>
              <w:jc w:val="center"/>
              <w:rPr>
                <w:b/>
                <w:b/>
              </w:rPr>
            </w:pPr>
            <w:r>
              <w:rPr>
                <w:b/>
              </w:rPr>
              <w:t>Class Name</w:t>
            </w:r>
          </w:p>
        </w:tc>
        <w:tc>
          <w:tcPr>
            <w:tcW w:w="1870" w:type="dxa"/>
            <w:tcBorders/>
            <w:shd w:color="auto" w:fill="auto" w:val="clear"/>
            <w:tcMar>
              <w:left w:w="68"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68" w:type="dxa"/>
            </w:tcMar>
          </w:tcPr>
          <w:p>
            <w:pPr>
              <w:pStyle w:val="Normal"/>
              <w:spacing w:lineRule="auto" w:line="240" w:before="0" w:after="0"/>
              <w:rPr/>
            </w:pPr>
            <w:r>
              <w:rPr/>
              <w:t>Salary</w:t>
            </w:r>
          </w:p>
        </w:tc>
        <w:tc>
          <w:tcPr>
            <w:tcW w:w="1870" w:type="dxa"/>
            <w:tcBorders/>
            <w:shd w:color="auto" w:fill="auto" w:val="clear"/>
            <w:tcMar>
              <w:left w:w="68" w:type="dxa"/>
            </w:tcMar>
          </w:tcPr>
          <w:p>
            <w:pPr>
              <w:pStyle w:val="Normal"/>
              <w:spacing w:lineRule="auto" w:line="240" w:before="0" w:after="0"/>
              <w:rPr/>
            </w:pPr>
            <w:r>
              <w:rPr/>
              <w:t>DEPED</w:t>
            </w:r>
          </w:p>
        </w:tc>
        <w:tc>
          <w:tcPr>
            <w:tcW w:w="1870" w:type="dxa"/>
            <w:tcBorders/>
            <w:shd w:color="auto" w:fill="auto" w:val="clear"/>
            <w:tcMar>
              <w:left w:w="68" w:type="dxa"/>
            </w:tcMar>
          </w:tcPr>
          <w:p>
            <w:pPr>
              <w:pStyle w:val="Normal"/>
              <w:spacing w:lineRule="auto" w:line="240" w:before="0" w:after="0"/>
              <w:rPr/>
            </w:pPr>
            <w:r>
              <w:rPr/>
              <w:t>GINGOOG DISTRICT</w:t>
            </w:r>
          </w:p>
        </w:tc>
        <w:tc>
          <w:tcPr>
            <w:tcW w:w="1870" w:type="dxa"/>
            <w:tcBorders/>
            <w:shd w:color="auto" w:fill="auto" w:val="clear"/>
            <w:tcMar>
              <w:left w:w="68"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68" w:type="dxa"/>
            </w:tcMar>
          </w:tcPr>
          <w:p>
            <w:pPr>
              <w:pStyle w:val="Normal"/>
              <w:spacing w:lineRule="auto" w:line="240" w:before="0" w:after="0"/>
              <w:rPr/>
            </w:pPr>
            <w:r>
              <w:rPr/>
              <w:t>Gingoog Central School</w:t>
            </w:r>
          </w:p>
        </w:tc>
      </w:tr>
      <w:tr>
        <w:trPr/>
        <w:tc>
          <w:tcPr>
            <w:tcW w:w="1869" w:type="dxa"/>
            <w:tcBorders/>
            <w:shd w:color="auto" w:fill="auto" w:val="clear"/>
            <w:tcMar>
              <w:left w:w="68" w:type="dxa"/>
            </w:tcMar>
          </w:tcPr>
          <w:p>
            <w:pPr>
              <w:pStyle w:val="Normal"/>
              <w:spacing w:lineRule="auto" w:line="240" w:before="0" w:after="0"/>
              <w:rPr/>
            </w:pPr>
            <w:r>
              <w:rPr/>
              <w:t>Pension</w:t>
            </w:r>
          </w:p>
        </w:tc>
        <w:tc>
          <w:tcPr>
            <w:tcW w:w="1870" w:type="dxa"/>
            <w:tcBorders/>
            <w:shd w:color="auto" w:fill="auto" w:val="clear"/>
            <w:tcMar>
              <w:left w:w="68" w:type="dxa"/>
            </w:tcMar>
          </w:tcPr>
          <w:p>
            <w:pPr>
              <w:pStyle w:val="Normal"/>
              <w:spacing w:lineRule="auto" w:line="240" w:before="0" w:after="0"/>
              <w:rPr/>
            </w:pPr>
            <w:r>
              <w:rPr/>
              <w:t>Pension</w:t>
            </w:r>
          </w:p>
        </w:tc>
        <w:tc>
          <w:tcPr>
            <w:tcW w:w="1870" w:type="dxa"/>
            <w:tcBorders/>
            <w:shd w:color="auto" w:fill="auto" w:val="clear"/>
            <w:tcMar>
              <w:left w:w="68" w:type="dxa"/>
            </w:tcMar>
          </w:tcPr>
          <w:p>
            <w:pPr>
              <w:pStyle w:val="Normal"/>
              <w:spacing w:lineRule="auto" w:line="240" w:before="0" w:after="0"/>
              <w:rPr/>
            </w:pPr>
            <w:r>
              <w:rPr/>
              <w:t xml:space="preserve">GSIS </w:t>
            </w:r>
          </w:p>
        </w:tc>
        <w:tc>
          <w:tcPr>
            <w:tcW w:w="1870" w:type="dxa"/>
            <w:tcBorders/>
            <w:shd w:color="auto" w:fill="auto" w:val="clear"/>
            <w:tcMar>
              <w:left w:w="68"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68" w:type="dxa"/>
            </w:tcMar>
          </w:tcPr>
          <w:p>
            <w:pPr>
              <w:pStyle w:val="Normal"/>
              <w:spacing w:lineRule="auto" w:line="240" w:before="0" w:after="0"/>
              <w:rPr/>
            </w:pPr>
            <w:r>
              <w:rPr/>
              <w:t>Pensioner</w:t>
            </w:r>
          </w:p>
        </w:tc>
      </w:tr>
      <w:tr>
        <w:trPr/>
        <w:tc>
          <w:tcPr>
            <w:tcW w:w="1869" w:type="dxa"/>
            <w:tcBorders/>
            <w:shd w:color="auto" w:fill="auto" w:val="clear"/>
            <w:tcMar>
              <w:left w:w="68" w:type="dxa"/>
            </w:tcMar>
          </w:tcPr>
          <w:p>
            <w:pPr>
              <w:pStyle w:val="Normal"/>
              <w:spacing w:lineRule="auto" w:line="240" w:before="0" w:after="0"/>
              <w:rPr/>
            </w:pPr>
            <w:r>
              <w:rPr/>
            </w:r>
          </w:p>
        </w:tc>
        <w:tc>
          <w:tcPr>
            <w:tcW w:w="1870" w:type="dxa"/>
            <w:tcBorders/>
            <w:shd w:color="auto" w:fill="auto" w:val="clear"/>
            <w:tcMar>
              <w:left w:w="68" w:type="dxa"/>
            </w:tcMar>
          </w:tcPr>
          <w:p>
            <w:pPr>
              <w:pStyle w:val="Normal"/>
              <w:spacing w:lineRule="auto" w:line="240" w:before="0" w:after="0"/>
              <w:rPr/>
            </w:pPr>
            <w:r>
              <w:rPr/>
            </w:r>
          </w:p>
        </w:tc>
        <w:tc>
          <w:tcPr>
            <w:tcW w:w="1870" w:type="dxa"/>
            <w:tcBorders/>
            <w:shd w:color="auto" w:fill="auto" w:val="clear"/>
            <w:tcMar>
              <w:left w:w="68" w:type="dxa"/>
            </w:tcMar>
          </w:tcPr>
          <w:p>
            <w:pPr>
              <w:pStyle w:val="Normal"/>
              <w:spacing w:lineRule="auto" w:line="240" w:before="0" w:after="0"/>
              <w:rPr/>
            </w:pPr>
            <w:r>
              <w:rPr/>
              <w:t>SSS</w:t>
            </w:r>
          </w:p>
        </w:tc>
        <w:tc>
          <w:tcPr>
            <w:tcW w:w="1870" w:type="dxa"/>
            <w:tcBorders/>
            <w:shd w:color="auto" w:fill="auto" w:val="clear"/>
            <w:tcMar>
              <w:left w:w="68" w:type="dxa"/>
            </w:tcMar>
          </w:tcPr>
          <w:p>
            <w:pPr>
              <w:pStyle w:val="Normal"/>
              <w:spacing w:lineRule="auto" w:line="240" w:before="0" w:after="0"/>
              <w:rPr/>
            </w:pPr>
            <w:r>
              <w:rPr/>
              <w:t>Cash Advance</w:t>
            </w:r>
          </w:p>
        </w:tc>
        <w:tc>
          <w:tcPr>
            <w:tcW w:w="1870" w:type="dxa"/>
            <w:tcBorders/>
            <w:shd w:color="auto" w:fill="auto" w:val="clear"/>
            <w:tcMar>
              <w:left w:w="68" w:type="dxa"/>
            </w:tcMar>
          </w:tcPr>
          <w:p>
            <w:pPr>
              <w:pStyle w:val="Normal"/>
              <w:spacing w:lineRule="auto" w:line="240" w:before="0" w:after="0"/>
              <w:rPr/>
            </w:pPr>
            <w:r>
              <w:rPr/>
              <w:t>Survivor</w:t>
            </w:r>
          </w:p>
        </w:tc>
      </w:tr>
      <w:tr>
        <w:trPr/>
        <w:tc>
          <w:tcPr>
            <w:tcW w:w="1869" w:type="dxa"/>
            <w:tcBorders/>
            <w:shd w:color="auto" w:fill="auto" w:val="clear"/>
            <w:tcMar>
              <w:left w:w="68" w:type="dxa"/>
            </w:tcMar>
          </w:tcPr>
          <w:p>
            <w:pPr>
              <w:pStyle w:val="Normal"/>
              <w:spacing w:lineRule="auto" w:line="240" w:before="0" w:after="0"/>
              <w:rPr/>
            </w:pPr>
            <w:r>
              <w:rPr/>
              <w:t>Allotment</w:t>
            </w:r>
          </w:p>
        </w:tc>
        <w:tc>
          <w:tcPr>
            <w:tcW w:w="1870" w:type="dxa"/>
            <w:tcBorders/>
            <w:shd w:color="auto" w:fill="auto" w:val="clear"/>
            <w:tcMar>
              <w:left w:w="68" w:type="dxa"/>
            </w:tcMar>
          </w:tcPr>
          <w:p>
            <w:pPr>
              <w:pStyle w:val="Normal"/>
              <w:spacing w:lineRule="auto" w:line="240" w:before="0" w:after="0"/>
              <w:rPr/>
            </w:pPr>
            <w:r>
              <w:rPr/>
              <w:t>Allottee</w:t>
            </w:r>
          </w:p>
        </w:tc>
        <w:tc>
          <w:tcPr>
            <w:tcW w:w="1870" w:type="dxa"/>
            <w:tcBorders/>
            <w:shd w:color="auto" w:fill="auto" w:val="clear"/>
            <w:tcMar>
              <w:left w:w="68" w:type="dxa"/>
            </w:tcMar>
          </w:tcPr>
          <w:p>
            <w:pPr>
              <w:pStyle w:val="Normal"/>
              <w:spacing w:lineRule="auto" w:line="240" w:before="0" w:after="0"/>
              <w:rPr/>
            </w:pPr>
            <w:r>
              <w:rPr/>
              <w:t>Seamen Allottee</w:t>
            </w:r>
          </w:p>
        </w:tc>
        <w:tc>
          <w:tcPr>
            <w:tcW w:w="1870" w:type="dxa"/>
            <w:tcBorders/>
            <w:shd w:color="auto" w:fill="auto" w:val="clear"/>
            <w:tcMar>
              <w:left w:w="68" w:type="dxa"/>
            </w:tcMar>
          </w:tcPr>
          <w:p>
            <w:pPr>
              <w:pStyle w:val="Normal"/>
              <w:spacing w:lineRule="auto" w:line="240" w:before="0" w:after="0"/>
              <w:rPr/>
            </w:pPr>
            <w:r>
              <w:rPr/>
              <w:t>Straight 1</w:t>
            </w:r>
          </w:p>
        </w:tc>
        <w:tc>
          <w:tcPr>
            <w:tcW w:w="1870" w:type="dxa"/>
            <w:tcBorders/>
            <w:shd w:color="auto" w:fill="auto" w:val="clear"/>
            <w:tcMar>
              <w:left w:w="68"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 - done)</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(under development)</w:t>
      </w:r>
    </w:p>
    <w:p>
      <w:pPr>
        <w:pStyle w:val="Normal"/>
        <w:ind w:left="360" w:hanging="0"/>
        <w:rPr/>
      </w:pPr>
      <w:r>
        <w:rPr/>
      </w:r>
    </w:p>
    <w:p>
      <w:pPr>
        <w:pStyle w:val="ListParagraph"/>
        <w:rPr>
          <w:u w:val="single"/>
        </w:rPr>
      </w:pPr>
      <w:r>
        <w:rPr>
          <w:highlight w:val="green"/>
          <w:u w:val="single"/>
        </w:rPr>
        <w:t>Feb. 7, 2017 Demo</w:t>
      </w:r>
    </w:p>
    <w:p>
      <w:pPr>
        <w:pStyle w:val="ListParagraph"/>
        <w:numPr>
          <w:ilvl w:val="0"/>
          <w:numId w:val="5"/>
        </w:numPr>
        <w:rPr/>
      </w:pPr>
      <w:r>
        <w:rPr/>
        <w:t>Add “Renew” – this refers to previously fully paid accounts and wanted to avail loans.</w:t>
      </w:r>
    </w:p>
    <w:p>
      <w:pPr>
        <w:pStyle w:val="ListParagraph"/>
        <w:numPr>
          <w:ilvl w:val="0"/>
          <w:numId w:val="5"/>
        </w:numPr>
        <w:rPr/>
      </w:pPr>
      <w:r>
        <w:rPr/>
        <w:t xml:space="preserve">For CCD – assessment for 5 C’s maybe we can have fixed values for us to have a drop down. Lists all possible remarks. Also drop down list for reasons approval, rejection (c/o Sir Benz) </w:t>
      </w:r>
      <w:r>
        <w:rPr>
          <w:color w:val="3333FF"/>
        </w:rPr>
        <w:t>(done)</w:t>
      </w:r>
    </w:p>
    <w:p>
      <w:pPr>
        <w:pStyle w:val="ListParagraph"/>
        <w:numPr>
          <w:ilvl w:val="0"/>
          <w:numId w:val="5"/>
        </w:numPr>
        <w:rPr/>
      </w:pPr>
      <w:r>
        <w:rPr/>
        <w:t xml:space="preserve">Filter lists of competitors by branch in the loan assessment </w:t>
      </w:r>
    </w:p>
    <w:p>
      <w:pPr>
        <w:pStyle w:val="ListParagraph"/>
        <w:numPr>
          <w:ilvl w:val="0"/>
          <w:numId w:val="5"/>
        </w:numPr>
        <w:rPr/>
      </w:pPr>
      <w:r>
        <w:rPr/>
        <w:t xml:space="preserve">Show client Net Take Home Pay in Client details under loan record for approval purposes. </w:t>
      </w:r>
      <w:bookmarkStart w:id="2" w:name="__DdeLink__251_845001198"/>
      <w:r>
        <w:rPr>
          <w:color w:val="3333FF"/>
        </w:rPr>
        <w:t>(done)</w:t>
      </w:r>
      <w:bookmarkEnd w:id="2"/>
      <w:r>
        <w:rPr/>
        <w:t xml:space="preserve"> </w:t>
      </w:r>
    </w:p>
    <w:p>
      <w:pPr>
        <w:pStyle w:val="ListParagraph"/>
        <w:numPr>
          <w:ilvl w:val="0"/>
          <w:numId w:val="5"/>
        </w:numPr>
        <w:rPr/>
      </w:pPr>
      <w:r>
        <w:rPr/>
        <w:t>Approval thru call or text – shall be included in the rights of the OIC</w:t>
      </w:r>
    </w:p>
    <w:p>
      <w:pPr>
        <w:pStyle w:val="ListParagraph"/>
        <w:numPr>
          <w:ilvl w:val="1"/>
          <w:numId w:val="5"/>
        </w:numPr>
        <w:rPr/>
      </w:pPr>
      <w:r>
        <w:rPr/>
        <w:t>If possible only one window will be accessed to approve and reject</w:t>
      </w:r>
    </w:p>
    <w:p>
      <w:pPr>
        <w:pStyle w:val="ListParagraph"/>
        <w:numPr>
          <w:ilvl w:val="0"/>
          <w:numId w:val="5"/>
        </w:numPr>
        <w:rPr/>
      </w:pPr>
      <w:r>
        <w:rPr/>
        <w:t xml:space="preserve">Release details – for proceeds to be released to other branch, add a branch in the release details and a message will be sent to the receiving branch. </w:t>
      </w:r>
    </w:p>
    <w:p>
      <w:pPr>
        <w:pStyle w:val="ListParagraph"/>
        <w:numPr>
          <w:ilvl w:val="1"/>
          <w:numId w:val="5"/>
        </w:numPr>
        <w:rPr/>
      </w:pPr>
      <w:r>
        <w:rPr/>
        <w:t>Send also documents to the releasing branch if the client is in another branch and ready for printing.</w:t>
      </w:r>
    </w:p>
    <w:p>
      <w:pPr>
        <w:pStyle w:val="ListParagraph"/>
        <w:numPr>
          <w:ilvl w:val="0"/>
          <w:numId w:val="5"/>
        </w:numPr>
        <w:rPr/>
      </w:pPr>
      <w:r>
        <w:rPr/>
        <w:t>LPPP Computation (Charges) – general rule: 1.00 for every 1,000 times term of loan but not to exceed 24 months</w:t>
      </w:r>
    </w:p>
    <w:p>
      <w:pPr>
        <w:pStyle w:val="ListParagraph"/>
        <w:numPr>
          <w:ilvl w:val="1"/>
          <w:numId w:val="5"/>
        </w:numPr>
        <w:rPr/>
      </w:pPr>
      <w:r>
        <w:rPr/>
        <w:t>DEPED (regular) – maximum of 12 regardless of the term of loan</w:t>
      </w:r>
    </w:p>
    <w:p>
      <w:pPr>
        <w:pStyle w:val="ListParagraph"/>
        <w:numPr>
          <w:ilvl w:val="0"/>
          <w:numId w:val="5"/>
        </w:numPr>
        <w:rPr/>
      </w:pPr>
      <w:r>
        <w:rPr/>
        <w:t xml:space="preserve">1 client can have multiple bank account </w:t>
      </w:r>
      <w:r>
        <w:rPr>
          <w:color w:val="3333FF"/>
        </w:rPr>
        <w:t>(done)</w:t>
      </w:r>
      <w:r>
        <w:rPr/>
        <w:t xml:space="preserve"> </w:t>
      </w:r>
    </w:p>
    <w:p>
      <w:pPr>
        <w:pStyle w:val="ListParagraph"/>
        <w:numPr>
          <w:ilvl w:val="0"/>
          <w:numId w:val="5"/>
        </w:numPr>
        <w:rPr/>
      </w:pPr>
      <w:r>
        <w:rPr/>
        <w:t xml:space="preserve">Alert shall be made for actual releases not equal to the approved amount but should not be released beyond the approved amount. </w:t>
      </w:r>
      <w:bookmarkStart w:id="3" w:name="__DdeLink__255_1224131686"/>
      <w:r>
        <w:rPr>
          <w:color w:val="3333FF"/>
        </w:rPr>
        <w:t>(done)</w:t>
      </w:r>
      <w:bookmarkEnd w:id="3"/>
      <w:r>
        <w:rPr/>
        <w:t xml:space="preserve"> </w:t>
      </w:r>
    </w:p>
    <w:p>
      <w:pPr>
        <w:pStyle w:val="ListParagraph"/>
        <w:numPr>
          <w:ilvl w:val="0"/>
          <w:numId w:val="5"/>
        </w:numPr>
        <w:spacing w:before="0" w:after="160"/>
        <w:contextualSpacing/>
        <w:rPr/>
      </w:pPr>
      <w:r>
        <w:rPr/>
        <w:t>Cancellation of transactions even after actual releases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4618</TotalTime>
  <Application>LibreOffice/5.2.1.2$Windows_x86 LibreOffice_project/31dd62db80d4e60af04904455ec9c9219178d620</Application>
  <Pages>5</Pages>
  <Words>2250</Words>
  <Characters>10700</Characters>
  <CharactersWithSpaces>12795</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2017-02-17T09:44:04Z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