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CBA" w:rsidRPr="009225A1" w:rsidRDefault="00752CBA" w:rsidP="00752CBA">
      <w:pPr>
        <w:pStyle w:val="a3"/>
        <w:jc w:val="center"/>
        <w:rPr>
          <w:rFonts w:asciiTheme="majorBidi" w:eastAsia="MS Mincho" w:hAnsiTheme="majorBidi" w:cstheme="majorBidi"/>
          <w:sz w:val="36"/>
          <w:szCs w:val="36"/>
          <w:lang w:val="uk-UA"/>
        </w:rPr>
      </w:pPr>
      <w:r w:rsidRPr="009225A1">
        <w:rPr>
          <w:rFonts w:asciiTheme="majorBidi" w:eastAsia="MS Mincho" w:hAnsiTheme="majorBidi" w:cstheme="majorBidi"/>
          <w:sz w:val="36"/>
          <w:szCs w:val="36"/>
          <w:lang w:val="uk-UA"/>
        </w:rPr>
        <w:t>Львівський національний університет імені Івана Франка</w:t>
      </w:r>
    </w:p>
    <w:p w:rsidR="00752CBA" w:rsidRPr="009225A1" w:rsidRDefault="00752CBA" w:rsidP="00752CBA">
      <w:pPr>
        <w:pStyle w:val="4"/>
        <w:spacing w:before="0" w:beforeAutospacing="0" w:after="72" w:afterAutospacing="0" w:line="285" w:lineRule="atLeast"/>
        <w:jc w:val="center"/>
        <w:rPr>
          <w:rFonts w:asciiTheme="majorBidi" w:hAnsiTheme="majorBidi" w:cstheme="majorBidi"/>
          <w:b w:val="0"/>
          <w:bCs w:val="0"/>
          <w:color w:val="000000"/>
          <w:sz w:val="36"/>
          <w:szCs w:val="36"/>
          <w:lang w:val="uk-UA"/>
        </w:rPr>
      </w:pPr>
      <w:r w:rsidRPr="009225A1">
        <w:rPr>
          <w:rFonts w:asciiTheme="majorBidi" w:eastAsia="MS Mincho" w:hAnsiTheme="majorBidi" w:cstheme="majorBidi"/>
          <w:b w:val="0"/>
          <w:bCs w:val="0"/>
          <w:sz w:val="36"/>
          <w:szCs w:val="36"/>
          <w:lang w:val="uk-UA"/>
        </w:rPr>
        <w:t xml:space="preserve">Кафедра </w:t>
      </w:r>
      <w:r w:rsidRPr="009225A1">
        <w:rPr>
          <w:rFonts w:asciiTheme="majorBidi" w:hAnsiTheme="majorBidi" w:cstheme="majorBidi"/>
          <w:b w:val="0"/>
          <w:bCs w:val="0"/>
          <w:color w:val="000000"/>
          <w:sz w:val="36"/>
          <w:szCs w:val="36"/>
          <w:lang w:val="uk-UA"/>
        </w:rPr>
        <w:t>радіофізики</w:t>
      </w:r>
    </w:p>
    <w:p w:rsidR="00752CBA" w:rsidRPr="009225A1" w:rsidRDefault="00752CBA" w:rsidP="00752CBA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752CBA" w:rsidRPr="009225A1" w:rsidRDefault="00752CBA" w:rsidP="00752CBA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752CBA" w:rsidRPr="009225A1" w:rsidRDefault="00752CBA" w:rsidP="00752CBA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752CBA" w:rsidRPr="009225A1" w:rsidRDefault="00752CBA" w:rsidP="00752CBA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752CBA" w:rsidRPr="009225A1" w:rsidRDefault="00752CBA" w:rsidP="00752CBA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752CBA" w:rsidRPr="009225A1" w:rsidRDefault="00752CBA" w:rsidP="00752CBA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752CBA" w:rsidRPr="009225A1" w:rsidRDefault="00752CBA" w:rsidP="00752CBA">
      <w:pPr>
        <w:jc w:val="center"/>
        <w:rPr>
          <w:rFonts w:asciiTheme="majorBidi" w:eastAsia="Calibri" w:hAnsiTheme="majorBidi" w:cstheme="majorBidi"/>
          <w:b/>
          <w:sz w:val="48"/>
          <w:szCs w:val="48"/>
          <w:lang w:val="uk-UA"/>
        </w:rPr>
      </w:pPr>
      <w:r w:rsidRPr="009225A1">
        <w:rPr>
          <w:rFonts w:asciiTheme="majorBidi" w:eastAsia="Calibri" w:hAnsiTheme="majorBidi" w:cstheme="majorBidi"/>
          <w:b/>
          <w:sz w:val="48"/>
          <w:szCs w:val="48"/>
          <w:lang w:val="uk-UA"/>
        </w:rPr>
        <w:t>Звіт</w:t>
      </w:r>
    </w:p>
    <w:p w:rsidR="00752CBA" w:rsidRPr="009225A1" w:rsidRDefault="00752CBA" w:rsidP="00752CBA">
      <w:pPr>
        <w:jc w:val="center"/>
        <w:rPr>
          <w:rFonts w:asciiTheme="majorBidi" w:eastAsia="Calibri" w:hAnsiTheme="majorBidi" w:cstheme="majorBidi"/>
          <w:sz w:val="28"/>
          <w:szCs w:val="28"/>
          <w:lang w:val="uk-UA"/>
        </w:rPr>
      </w:pPr>
      <w:r w:rsidRPr="009225A1">
        <w:rPr>
          <w:rFonts w:asciiTheme="majorBidi" w:eastAsia="Calibri" w:hAnsiTheme="majorBidi" w:cstheme="majorBidi"/>
          <w:sz w:val="28"/>
          <w:szCs w:val="28"/>
          <w:lang w:val="uk-UA"/>
        </w:rPr>
        <w:t>про виконання лабораторної роботи №4</w:t>
      </w:r>
    </w:p>
    <w:p w:rsidR="00752CBA" w:rsidRPr="009225A1" w:rsidRDefault="00752CBA" w:rsidP="00752CBA">
      <w:pPr>
        <w:jc w:val="center"/>
        <w:rPr>
          <w:rFonts w:asciiTheme="majorBidi" w:hAnsiTheme="majorBidi" w:cstheme="majorBidi"/>
          <w:b/>
          <w:sz w:val="32"/>
          <w:szCs w:val="28"/>
          <w:lang w:val="uk-UA"/>
        </w:rPr>
      </w:pPr>
      <w:r w:rsidRPr="009225A1">
        <w:rPr>
          <w:rFonts w:asciiTheme="majorBidi" w:hAnsiTheme="majorBidi" w:cstheme="majorBidi"/>
          <w:b/>
          <w:sz w:val="32"/>
          <w:szCs w:val="28"/>
          <w:lang w:val="uk-UA"/>
        </w:rPr>
        <w:t>ДОСЛІДЖЕННЯ ТРАНЗИСТОРНИХ ПІДСИЛЮВАЧІВ НИЗЬКОЇ ЧАСТОТИ</w:t>
      </w:r>
    </w:p>
    <w:p w:rsidR="00752CBA" w:rsidRPr="009225A1" w:rsidRDefault="00752CBA" w:rsidP="00752CBA">
      <w:pPr>
        <w:jc w:val="center"/>
        <w:rPr>
          <w:rFonts w:asciiTheme="majorBidi" w:eastAsia="Calibri" w:hAnsiTheme="majorBidi" w:cstheme="majorBidi"/>
          <w:b/>
          <w:sz w:val="32"/>
          <w:szCs w:val="28"/>
          <w:lang w:val="uk-UA"/>
        </w:rPr>
      </w:pPr>
    </w:p>
    <w:p w:rsidR="00752CBA" w:rsidRPr="009225A1" w:rsidRDefault="00752CBA" w:rsidP="00752CBA">
      <w:pPr>
        <w:jc w:val="center"/>
        <w:rPr>
          <w:rFonts w:asciiTheme="majorBidi" w:eastAsia="Calibri" w:hAnsiTheme="majorBidi" w:cstheme="majorBidi"/>
          <w:b/>
          <w:sz w:val="32"/>
          <w:szCs w:val="28"/>
          <w:lang w:val="uk-UA"/>
        </w:rPr>
      </w:pPr>
    </w:p>
    <w:p w:rsidR="00752CBA" w:rsidRPr="009225A1" w:rsidRDefault="00752CBA" w:rsidP="00752CBA">
      <w:pPr>
        <w:rPr>
          <w:rFonts w:asciiTheme="majorBidi" w:eastAsia="Calibri" w:hAnsiTheme="majorBidi" w:cstheme="majorBidi"/>
          <w:b/>
          <w:sz w:val="32"/>
          <w:szCs w:val="28"/>
          <w:lang w:val="uk-UA"/>
        </w:rPr>
      </w:pPr>
      <w:r w:rsidRPr="009225A1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9225A1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9225A1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9225A1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9225A1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9225A1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</w:p>
    <w:p w:rsidR="00752CBA" w:rsidRPr="009225A1" w:rsidRDefault="00752CBA" w:rsidP="00752CBA">
      <w:pPr>
        <w:rPr>
          <w:rFonts w:asciiTheme="majorBidi" w:eastAsia="Calibri" w:hAnsiTheme="majorBidi" w:cstheme="majorBidi"/>
          <w:bCs/>
          <w:sz w:val="32"/>
          <w:szCs w:val="28"/>
          <w:lang w:val="uk-UA"/>
        </w:rPr>
      </w:pPr>
      <w:r w:rsidRPr="009225A1">
        <w:rPr>
          <w:rFonts w:asciiTheme="majorBidi" w:hAnsiTheme="majorBidi" w:cstheme="majorBidi"/>
          <w:bCs/>
          <w:sz w:val="32"/>
          <w:szCs w:val="28"/>
          <w:lang w:val="uk-UA"/>
        </w:rPr>
        <w:t xml:space="preserve">                                                                                        Виконала</w:t>
      </w:r>
    </w:p>
    <w:p w:rsidR="00752CBA" w:rsidRPr="009225A1" w:rsidRDefault="00752CBA" w:rsidP="00752CBA">
      <w:pPr>
        <w:ind w:left="6372"/>
        <w:rPr>
          <w:rFonts w:asciiTheme="majorBidi" w:eastAsia="Calibri" w:hAnsiTheme="majorBidi" w:cstheme="majorBidi"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sz w:val="28"/>
          <w:szCs w:val="28"/>
          <w:lang w:val="uk-UA"/>
        </w:rPr>
        <w:t>С</w:t>
      </w:r>
      <w:r w:rsidRPr="009225A1">
        <w:rPr>
          <w:rFonts w:asciiTheme="majorBidi" w:eastAsia="Calibri" w:hAnsiTheme="majorBidi" w:cstheme="majorBidi"/>
          <w:sz w:val="28"/>
          <w:szCs w:val="28"/>
          <w:lang w:val="uk-UA"/>
        </w:rPr>
        <w:t>т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удентка Литвин Віри</w:t>
      </w:r>
    </w:p>
    <w:p w:rsidR="00752CBA" w:rsidRPr="009225A1" w:rsidRDefault="00752CBA" w:rsidP="00752CBA">
      <w:pPr>
        <w:ind w:left="5664" w:firstLine="708"/>
        <w:rPr>
          <w:rFonts w:asciiTheme="majorBidi" w:eastAsia="Calibri" w:hAnsiTheme="majorBidi" w:cstheme="majorBidi"/>
          <w:sz w:val="36"/>
          <w:szCs w:val="28"/>
          <w:lang w:val="uk-UA"/>
        </w:rPr>
      </w:pPr>
      <w:r w:rsidRPr="009225A1">
        <w:rPr>
          <w:rFonts w:asciiTheme="majorBidi" w:eastAsia="MS Mincho" w:hAnsiTheme="majorBidi" w:cstheme="majorBidi"/>
          <w:sz w:val="28"/>
          <w:szCs w:val="24"/>
          <w:lang w:val="uk-UA"/>
        </w:rPr>
        <w:t xml:space="preserve">Факультет </w:t>
      </w:r>
      <w:r w:rsidRPr="009225A1">
        <w:rPr>
          <w:rFonts w:asciiTheme="majorBidi" w:eastAsia="Calibri" w:hAnsiTheme="majorBidi" w:cstheme="majorBidi"/>
          <w:sz w:val="28"/>
          <w:szCs w:val="28"/>
          <w:lang w:val="uk-UA"/>
        </w:rPr>
        <w:t xml:space="preserve"> Електроніки</w:t>
      </w:r>
    </w:p>
    <w:p w:rsidR="00752CBA" w:rsidRPr="009225A1" w:rsidRDefault="00752CBA" w:rsidP="00752CBA">
      <w:pPr>
        <w:ind w:left="5664" w:firstLine="708"/>
        <w:rPr>
          <w:rFonts w:asciiTheme="majorBidi" w:eastAsia="Calibri" w:hAnsiTheme="majorBidi" w:cstheme="majorBidi"/>
          <w:sz w:val="28"/>
          <w:szCs w:val="28"/>
          <w:lang w:val="uk-UA"/>
        </w:rPr>
      </w:pPr>
      <w:r w:rsidRPr="009225A1">
        <w:rPr>
          <w:rFonts w:asciiTheme="majorBidi" w:eastAsia="Calibri" w:hAnsiTheme="majorBidi" w:cstheme="majorBidi"/>
          <w:sz w:val="28"/>
          <w:szCs w:val="28"/>
          <w:lang w:val="uk-UA"/>
        </w:rPr>
        <w:t>Груп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а</w:t>
      </w:r>
      <w:r w:rsidRPr="009225A1">
        <w:rPr>
          <w:rFonts w:asciiTheme="majorBidi" w:eastAsia="Calibri" w:hAnsiTheme="majorBidi" w:cstheme="majorBidi"/>
          <w:sz w:val="28"/>
          <w:szCs w:val="28"/>
          <w:lang w:val="uk-UA"/>
        </w:rPr>
        <w:t xml:space="preserve"> </w:t>
      </w:r>
      <w:proofErr w:type="spellStart"/>
      <w:r w:rsidRPr="009225A1">
        <w:rPr>
          <w:rFonts w:asciiTheme="majorBidi" w:eastAsia="Calibri" w:hAnsiTheme="majorBidi" w:cstheme="majorBidi"/>
          <w:sz w:val="28"/>
          <w:szCs w:val="28"/>
          <w:lang w:val="uk-UA"/>
        </w:rPr>
        <w:t>Феі</w:t>
      </w:r>
      <w:proofErr w:type="spellEnd"/>
      <w:r w:rsidRPr="009225A1">
        <w:rPr>
          <w:rFonts w:asciiTheme="majorBidi" w:eastAsia="Calibri" w:hAnsiTheme="majorBidi" w:cstheme="majorBidi"/>
          <w:sz w:val="28"/>
          <w:szCs w:val="28"/>
          <w:lang w:val="uk-UA"/>
        </w:rPr>
        <w:t>-12</w:t>
      </w:r>
    </w:p>
    <w:p w:rsidR="00752CBA" w:rsidRPr="009225A1" w:rsidRDefault="00752CBA" w:rsidP="00752CBA">
      <w:pPr>
        <w:ind w:left="6372" w:firstLine="708"/>
        <w:rPr>
          <w:rFonts w:asciiTheme="majorBidi" w:hAnsiTheme="majorBidi" w:cstheme="majorBidi"/>
          <w:sz w:val="32"/>
          <w:szCs w:val="32"/>
          <w:lang w:val="uk-UA"/>
        </w:rPr>
      </w:pPr>
      <w:r w:rsidRPr="009225A1">
        <w:rPr>
          <w:rFonts w:asciiTheme="majorBidi" w:eastAsia="Calibri" w:hAnsiTheme="majorBidi" w:cstheme="majorBidi"/>
          <w:sz w:val="32"/>
          <w:szCs w:val="32"/>
          <w:lang w:val="uk-UA"/>
        </w:rPr>
        <w:t xml:space="preserve">Викладач </w:t>
      </w:r>
      <w:r w:rsidRPr="009225A1">
        <w:rPr>
          <w:rFonts w:asciiTheme="majorBidi" w:hAnsiTheme="majorBidi" w:cstheme="majorBidi"/>
          <w:sz w:val="32"/>
          <w:szCs w:val="32"/>
          <w:lang w:val="uk-UA"/>
        </w:rPr>
        <w:t>:</w:t>
      </w:r>
    </w:p>
    <w:p w:rsidR="00752CBA" w:rsidRPr="009225A1" w:rsidRDefault="00D16B3B" w:rsidP="00D16B3B">
      <w:pPr>
        <w:ind w:left="5664"/>
        <w:rPr>
          <w:rFonts w:asciiTheme="majorBidi" w:eastAsia="Calibri" w:hAnsiTheme="majorBidi" w:cstheme="majorBidi"/>
          <w:b/>
          <w:sz w:val="32"/>
          <w:szCs w:val="32"/>
          <w:lang w:val="uk-UA"/>
        </w:rPr>
      </w:pPr>
      <w:r w:rsidRPr="009225A1">
        <w:rPr>
          <w:rStyle w:val="apple-style-span"/>
          <w:rFonts w:asciiTheme="majorBidi" w:hAnsiTheme="majorBidi" w:cstheme="majorBidi"/>
          <w:color w:val="000000"/>
          <w:sz w:val="36"/>
          <w:szCs w:val="36"/>
          <w:lang w:val="uk-UA"/>
        </w:rPr>
        <w:t xml:space="preserve">        </w:t>
      </w:r>
      <w:r w:rsidR="00752CBA" w:rsidRPr="009225A1">
        <w:rPr>
          <w:rStyle w:val="apple-style-span"/>
          <w:rFonts w:asciiTheme="majorBidi" w:hAnsiTheme="majorBidi" w:cstheme="majorBidi"/>
          <w:color w:val="000000"/>
          <w:sz w:val="32"/>
          <w:szCs w:val="32"/>
          <w:lang w:val="uk-UA"/>
        </w:rPr>
        <w:t>доц. Ковальчук М. Г.</w:t>
      </w:r>
    </w:p>
    <w:p w:rsidR="00752CBA" w:rsidRPr="009225A1" w:rsidRDefault="00752CBA" w:rsidP="00752CBA">
      <w:pPr>
        <w:jc w:val="right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752CBA" w:rsidRPr="009225A1" w:rsidRDefault="00752CBA" w:rsidP="00752CBA">
      <w:pPr>
        <w:jc w:val="right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752CBA" w:rsidRPr="009225A1" w:rsidRDefault="00752CBA" w:rsidP="00752CBA">
      <w:pPr>
        <w:jc w:val="right"/>
        <w:rPr>
          <w:rFonts w:asciiTheme="majorBidi" w:eastAsia="Calibri" w:hAnsiTheme="majorBidi" w:cstheme="majorBidi"/>
          <w:b/>
          <w:sz w:val="28"/>
          <w:szCs w:val="28"/>
          <w:lang w:val="uk-UA"/>
        </w:rPr>
      </w:pPr>
    </w:p>
    <w:p w:rsidR="00D16B3B" w:rsidRPr="009225A1" w:rsidRDefault="00D16B3B" w:rsidP="00752CBA">
      <w:pPr>
        <w:jc w:val="right"/>
        <w:rPr>
          <w:rFonts w:asciiTheme="majorBidi" w:eastAsia="Calibri" w:hAnsiTheme="majorBidi" w:cstheme="majorBidi"/>
          <w:b/>
          <w:sz w:val="28"/>
          <w:szCs w:val="28"/>
          <w:lang w:val="uk-UA"/>
        </w:rPr>
      </w:pPr>
    </w:p>
    <w:p w:rsidR="00D16B3B" w:rsidRPr="009225A1" w:rsidRDefault="00D16B3B" w:rsidP="00752CBA">
      <w:pPr>
        <w:jc w:val="right"/>
        <w:rPr>
          <w:rFonts w:asciiTheme="majorBidi" w:eastAsia="Calibri" w:hAnsiTheme="majorBidi" w:cstheme="majorBidi"/>
          <w:b/>
          <w:sz w:val="28"/>
          <w:szCs w:val="28"/>
          <w:lang w:val="uk-UA"/>
        </w:rPr>
      </w:pPr>
    </w:p>
    <w:p w:rsidR="00752CBA" w:rsidRPr="009225A1" w:rsidRDefault="00752CBA" w:rsidP="00752CBA">
      <w:pPr>
        <w:spacing w:after="120" w:line="240" w:lineRule="auto"/>
        <w:jc w:val="center"/>
        <w:rPr>
          <w:rFonts w:asciiTheme="majorBidi" w:eastAsia="Calibri" w:hAnsiTheme="majorBidi" w:cstheme="majorBidi"/>
          <w:bCs/>
          <w:sz w:val="28"/>
          <w:szCs w:val="28"/>
          <w:lang w:val="uk-UA"/>
        </w:rPr>
      </w:pPr>
      <w:r w:rsidRPr="009225A1">
        <w:rPr>
          <w:rFonts w:asciiTheme="majorBidi" w:eastAsia="Calibri" w:hAnsiTheme="majorBidi" w:cstheme="majorBidi"/>
          <w:bCs/>
          <w:sz w:val="28"/>
          <w:szCs w:val="28"/>
          <w:lang w:val="uk-UA"/>
        </w:rPr>
        <w:t>Львів 2011</w:t>
      </w:r>
    </w:p>
    <w:p w:rsidR="00D16B3B" w:rsidRPr="009225A1" w:rsidRDefault="00D16B3B" w:rsidP="00D16B3B">
      <w:pPr>
        <w:rPr>
          <w:rFonts w:asciiTheme="majorBidi" w:hAnsiTheme="majorBidi" w:cstheme="majorBidi"/>
          <w:b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b/>
          <w:sz w:val="28"/>
          <w:szCs w:val="28"/>
          <w:lang w:val="uk-UA"/>
        </w:rPr>
        <w:lastRenderedPageBreak/>
        <w:t xml:space="preserve">Завдання: </w:t>
      </w:r>
    </w:p>
    <w:p w:rsidR="00D16B3B" w:rsidRPr="009225A1" w:rsidRDefault="00D16B3B" w:rsidP="00D16B3B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225A1">
        <w:rPr>
          <w:rFonts w:asciiTheme="majorBidi" w:hAnsiTheme="majorBidi" w:cstheme="majorBidi"/>
          <w:sz w:val="28"/>
          <w:szCs w:val="28"/>
        </w:rPr>
        <w:t>Отримати у викладача вихідні дані(тип підсилювача, значення напруг і частот).</w:t>
      </w:r>
    </w:p>
    <w:p w:rsidR="00D16B3B" w:rsidRPr="009225A1" w:rsidRDefault="00D16B3B" w:rsidP="00D16B3B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225A1">
        <w:rPr>
          <w:rFonts w:asciiTheme="majorBidi" w:hAnsiTheme="majorBidi" w:cstheme="majorBidi"/>
          <w:sz w:val="28"/>
          <w:szCs w:val="28"/>
        </w:rPr>
        <w:t>Скласти схему для експериментальних досліджень.</w:t>
      </w:r>
    </w:p>
    <w:p w:rsidR="00D16B3B" w:rsidRPr="009225A1" w:rsidRDefault="00D16B3B" w:rsidP="00D16B3B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225A1">
        <w:rPr>
          <w:rFonts w:asciiTheme="majorBidi" w:hAnsiTheme="majorBidi" w:cstheme="majorBidi"/>
          <w:sz w:val="28"/>
          <w:szCs w:val="28"/>
        </w:rPr>
        <w:t>Визначити вхідний та вихідний опори каскаду.</w:t>
      </w:r>
    </w:p>
    <w:p w:rsidR="00D16B3B" w:rsidRPr="009225A1" w:rsidRDefault="00D16B3B" w:rsidP="00D16B3B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225A1">
        <w:rPr>
          <w:rFonts w:asciiTheme="majorBidi" w:hAnsiTheme="majorBidi" w:cstheme="majorBidi"/>
          <w:sz w:val="28"/>
          <w:szCs w:val="28"/>
        </w:rPr>
        <w:t>Зняти амплітудну характеристику підсилювача і визначити за нею допустиму амплітуду вхідних сигналів.</w:t>
      </w:r>
    </w:p>
    <w:p w:rsidR="00D16B3B" w:rsidRPr="009225A1" w:rsidRDefault="00D16B3B" w:rsidP="00D16B3B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225A1">
        <w:rPr>
          <w:rFonts w:asciiTheme="majorBidi" w:hAnsiTheme="majorBidi" w:cstheme="majorBidi"/>
          <w:sz w:val="28"/>
          <w:szCs w:val="28"/>
        </w:rPr>
        <w:t>Зняти ампліту</w:t>
      </w:r>
      <w:r w:rsidR="001D0B54" w:rsidRPr="009225A1">
        <w:rPr>
          <w:rFonts w:asciiTheme="majorBidi" w:hAnsiTheme="majorBidi" w:cstheme="majorBidi"/>
          <w:sz w:val="28"/>
          <w:szCs w:val="28"/>
        </w:rPr>
        <w:t>дно-частотну</w:t>
      </w:r>
      <w:r w:rsidRPr="009225A1">
        <w:rPr>
          <w:rFonts w:asciiTheme="majorBidi" w:hAnsiTheme="majorBidi" w:cstheme="majorBidi"/>
          <w:sz w:val="28"/>
          <w:szCs w:val="28"/>
        </w:rPr>
        <w:t xml:space="preserve"> характеристику підсилювача і визначити за нею смугу пропускання.</w:t>
      </w:r>
    </w:p>
    <w:p w:rsidR="00A46BA9" w:rsidRPr="009225A1" w:rsidRDefault="00D16B3B" w:rsidP="00F21026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225A1">
        <w:rPr>
          <w:rFonts w:asciiTheme="majorBidi" w:hAnsiTheme="majorBidi" w:cstheme="majorBidi"/>
          <w:sz w:val="28"/>
          <w:szCs w:val="28"/>
        </w:rPr>
        <w:t>Результати експериментів зобразити графічно.</w:t>
      </w:r>
    </w:p>
    <w:p w:rsidR="00F21026" w:rsidRPr="009225A1" w:rsidRDefault="00F21026" w:rsidP="00F21026">
      <w:pPr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b/>
          <w:sz w:val="28"/>
          <w:szCs w:val="28"/>
          <w:lang w:val="uk-UA"/>
        </w:rPr>
        <w:t>Схема електричного  кола:</w:t>
      </w:r>
    </w:p>
    <w:p w:rsidR="00F21026" w:rsidRPr="009225A1" w:rsidRDefault="00F21026" w:rsidP="00F21026">
      <w:pPr>
        <w:ind w:left="708"/>
        <w:rPr>
          <w:rFonts w:asciiTheme="majorBidi" w:hAnsiTheme="majorBidi" w:cstheme="majorBidi"/>
          <w:noProof/>
          <w:lang w:val="uk-UA" w:eastAsia="uk-UA"/>
        </w:rPr>
      </w:pPr>
      <w:r w:rsidRPr="009225A1">
        <w:rPr>
          <w:rFonts w:asciiTheme="majorBidi" w:hAnsiTheme="majorBidi" w:cstheme="majorBidi"/>
          <w:noProof/>
          <w:lang w:val="uk-UA" w:eastAsia="ru-RU"/>
        </w:rPr>
        <w:drawing>
          <wp:inline distT="0" distB="0" distL="0" distR="0">
            <wp:extent cx="2801620" cy="2999105"/>
            <wp:effectExtent l="38100" t="19050" r="17780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60000">
                      <a:off x="0" y="0"/>
                      <a:ext cx="2801620" cy="299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25A1">
        <w:rPr>
          <w:rFonts w:asciiTheme="majorBidi" w:hAnsiTheme="majorBidi" w:cstheme="majorBidi"/>
          <w:noProof/>
          <w:lang w:val="uk-UA" w:eastAsia="uk-UA"/>
        </w:rPr>
        <w:t xml:space="preserve"> </w:t>
      </w:r>
    </w:p>
    <w:p w:rsidR="00F21026" w:rsidRPr="009225A1" w:rsidRDefault="00F21026" w:rsidP="00F21026">
      <w:pPr>
        <w:rPr>
          <w:rFonts w:asciiTheme="majorBidi" w:hAnsiTheme="majorBidi" w:cstheme="majorBidi"/>
          <w:b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b/>
          <w:sz w:val="28"/>
          <w:szCs w:val="28"/>
          <w:lang w:val="uk-UA"/>
        </w:rPr>
        <w:t>Короткі теоретичні відомості:</w:t>
      </w:r>
    </w:p>
    <w:p w:rsidR="00F21026" w:rsidRPr="009225A1" w:rsidRDefault="00F21026" w:rsidP="00F21026">
      <w:pPr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sz w:val="28"/>
          <w:szCs w:val="28"/>
          <w:lang w:val="uk-UA"/>
        </w:rPr>
        <w:tab/>
        <w:t>Транзисторним підсилювачем називається електронний пристрій призначений для збільшення потужності електричних сигналів без зміни їх частоти і форми. Цей ефект досягається з допомогою підсилювальних елементів – транзисторів, які виконують керуючі функції. Енергетичним резервуаром служить джерело живлення.</w:t>
      </w:r>
    </w:p>
    <w:p w:rsidR="00F21026" w:rsidRPr="009225A1" w:rsidRDefault="00F21026" w:rsidP="00F21026">
      <w:pPr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sz w:val="28"/>
          <w:szCs w:val="28"/>
          <w:lang w:val="uk-UA"/>
        </w:rPr>
        <w:tab/>
        <w:t>У цій лабораторній роботі розглядається схема із спільним емітером (рисунок вище), яка забезпечує підсилення напруги, струму й потужності і внаслідок малої різниці між величинами вхідного й вихідного опорів дозволяє легко узгоджувати між собою окремі каскади в багато каскадному підсилювачі.</w:t>
      </w:r>
    </w:p>
    <w:p w:rsidR="00F21026" w:rsidRPr="009225A1" w:rsidRDefault="00F21026" w:rsidP="00F21026">
      <w:pPr>
        <w:ind w:firstLine="708"/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sz w:val="28"/>
          <w:szCs w:val="28"/>
          <w:lang w:val="uk-UA"/>
        </w:rPr>
        <w:lastRenderedPageBreak/>
        <w:t>Дільник на опорах R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1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 та R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2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 забезпечує подачу на базу транзистора потрібної напруги зміщення. Опір </w:t>
      </w:r>
      <w:proofErr w:type="spellStart"/>
      <w:r w:rsidRPr="009225A1">
        <w:rPr>
          <w:rFonts w:asciiTheme="majorBidi" w:hAnsiTheme="majorBidi" w:cstheme="majorBidi"/>
          <w:sz w:val="28"/>
          <w:szCs w:val="28"/>
          <w:lang w:val="uk-UA"/>
        </w:rPr>
        <w:t>R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к</w:t>
      </w:r>
      <w:proofErr w:type="spellEnd"/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 xml:space="preserve"> 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разом з опором </w:t>
      </w:r>
      <w:proofErr w:type="spellStart"/>
      <w:r w:rsidRPr="009225A1">
        <w:rPr>
          <w:rFonts w:asciiTheme="majorBidi" w:hAnsiTheme="majorBidi" w:cstheme="majorBidi"/>
          <w:sz w:val="28"/>
          <w:szCs w:val="28"/>
          <w:lang w:val="uk-UA"/>
        </w:rPr>
        <w:t>R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н</w:t>
      </w:r>
      <w:proofErr w:type="spellEnd"/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 утворюють опір навантаження колекторного кола для змінного струму. На цьому опорі відбувається падіння напруги підсиленого вхідного сигналу. Його від'ємна півхвиля викликає зростання струмів бази і колектора, що приводить до збільшення падіння напруги на опорі навантаження колекторного кола і зменшення абсолютної величини потенціалу колектора. Отже, в схемі із спільним емітером відбувається поворот фази вхідного сигналу на 180</w:t>
      </w:r>
      <w:r w:rsidRPr="009225A1">
        <w:rPr>
          <w:rFonts w:asciiTheme="majorBidi" w:cstheme="majorBidi"/>
          <w:sz w:val="28"/>
          <w:szCs w:val="28"/>
          <w:lang w:val="uk-UA"/>
        </w:rPr>
        <w:t>⁰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F21026" w:rsidRPr="009225A1" w:rsidRDefault="00F21026" w:rsidP="00F21026">
      <w:pPr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sz w:val="28"/>
          <w:szCs w:val="28"/>
          <w:lang w:val="uk-UA"/>
        </w:rPr>
        <w:tab/>
        <w:t xml:space="preserve">Опір </w:t>
      </w:r>
      <w:proofErr w:type="spellStart"/>
      <w:r w:rsidRPr="009225A1">
        <w:rPr>
          <w:rFonts w:asciiTheme="majorBidi" w:hAnsiTheme="majorBidi" w:cstheme="majorBidi"/>
          <w:sz w:val="28"/>
          <w:szCs w:val="28"/>
          <w:lang w:val="uk-UA"/>
        </w:rPr>
        <w:t>R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е</w:t>
      </w:r>
      <w:proofErr w:type="spellEnd"/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 xml:space="preserve"> 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служить для температурної стабілізації робочої точки.</w:t>
      </w:r>
    </w:p>
    <w:p w:rsidR="00F21026" w:rsidRPr="009225A1" w:rsidRDefault="00F21026" w:rsidP="00F21026">
      <w:pPr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sz w:val="28"/>
          <w:szCs w:val="28"/>
          <w:lang w:val="uk-UA"/>
        </w:rPr>
        <w:tab/>
        <w:t>Роздільні конденсатори С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 xml:space="preserve">р1 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і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 xml:space="preserve"> 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С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 xml:space="preserve">р2 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запобігають протіканню постійних складових базового і колекторного струмів. Величини цих конденсаторів вибираються такими, щоб  в робочій області частот дані опори були незначними. Конденсатор С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 xml:space="preserve">е 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усуває від’ємний зворотній зв’язок по змінній напрузі, який проводить до зменшення коефіцієнта підсилення.</w:t>
      </w:r>
    </w:p>
    <w:p w:rsidR="00B636DE" w:rsidRPr="009225A1" w:rsidRDefault="00B636DE" w:rsidP="00E70650">
      <w:pPr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b/>
          <w:bCs/>
          <w:sz w:val="28"/>
          <w:szCs w:val="28"/>
          <w:lang w:val="uk-UA"/>
        </w:rPr>
        <w:t>Робоч</w:t>
      </w:r>
      <w:r w:rsidR="00E70650" w:rsidRPr="009225A1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а </w:t>
      </w:r>
      <w:r w:rsidRPr="009225A1">
        <w:rPr>
          <w:rFonts w:asciiTheme="majorBidi" w:hAnsiTheme="majorBidi" w:cstheme="majorBidi"/>
          <w:b/>
          <w:bCs/>
          <w:sz w:val="28"/>
          <w:szCs w:val="28"/>
          <w:lang w:val="uk-UA"/>
        </w:rPr>
        <w:t>формул</w:t>
      </w:r>
      <w:r w:rsidR="00E70650" w:rsidRPr="009225A1">
        <w:rPr>
          <w:rFonts w:asciiTheme="majorBidi" w:hAnsiTheme="majorBidi" w:cstheme="majorBidi"/>
          <w:b/>
          <w:bCs/>
          <w:sz w:val="28"/>
          <w:szCs w:val="28"/>
          <w:lang w:val="uk-UA"/>
        </w:rPr>
        <w:t>а</w:t>
      </w:r>
      <w:r w:rsidRPr="009225A1">
        <w:rPr>
          <w:rFonts w:asciiTheme="majorBidi" w:hAnsiTheme="majorBidi" w:cstheme="majorBidi"/>
          <w:b/>
          <w:bCs/>
          <w:sz w:val="28"/>
          <w:szCs w:val="28"/>
          <w:lang w:val="uk-UA"/>
        </w:rPr>
        <w:t>:</w:t>
      </w:r>
    </w:p>
    <w:p w:rsidR="00F21026" w:rsidRPr="009225A1" w:rsidRDefault="00B636DE" w:rsidP="00B636DE">
      <w:pPr>
        <w:rPr>
          <w:rFonts w:asciiTheme="majorBidi" w:hAnsiTheme="majorBidi" w:cstheme="majorBidi"/>
          <w:sz w:val="28"/>
          <w:szCs w:val="28"/>
          <w:rtl/>
          <w:lang w:val="uk-UA"/>
        </w:rPr>
      </w:pPr>
      <w:proofErr w:type="spellStart"/>
      <w:r w:rsidRPr="009225A1">
        <w:rPr>
          <w:rFonts w:asciiTheme="majorBidi" w:hAnsiTheme="majorBidi" w:cstheme="majorBidi"/>
          <w:sz w:val="28"/>
          <w:szCs w:val="28"/>
          <w:lang w:val="uk-UA"/>
        </w:rPr>
        <w:t>R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вих</w:t>
      </w:r>
      <w:proofErr w:type="spellEnd"/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 ≈[R 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Н1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 R 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Н2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 (U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1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-U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2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)]/ (U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1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 R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Н2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 – U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2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 xml:space="preserve"> R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Н1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)</w:t>
      </w:r>
    </w:p>
    <w:p w:rsidR="00F21026" w:rsidRPr="009225A1" w:rsidRDefault="00E70650">
      <w:pPr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b/>
          <w:bCs/>
          <w:sz w:val="28"/>
          <w:szCs w:val="28"/>
          <w:lang w:val="uk-UA"/>
        </w:rPr>
        <w:t>Результати вимірювань і обчислень:</w:t>
      </w:r>
    </w:p>
    <w:p w:rsidR="00E70650" w:rsidRPr="009225A1" w:rsidRDefault="00E70650">
      <w:pPr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 w:rsidRPr="009225A1">
        <w:rPr>
          <w:rFonts w:asciiTheme="majorBidi" w:hAnsiTheme="majorBidi" w:cstheme="majorBidi"/>
          <w:sz w:val="28"/>
          <w:szCs w:val="28"/>
          <w:lang w:val="uk-UA"/>
        </w:rPr>
        <w:t>R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вих</w:t>
      </w:r>
      <w:proofErr w:type="spellEnd"/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 xml:space="preserve"> 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=70 Ом;</w:t>
      </w:r>
    </w:p>
    <w:p w:rsidR="00625A4E" w:rsidRPr="009225A1" w:rsidRDefault="00E70650" w:rsidP="00625A4E">
      <w:pPr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 w:rsidRPr="009225A1">
        <w:rPr>
          <w:rFonts w:asciiTheme="majorBidi" w:hAnsiTheme="majorBidi" w:cstheme="majorBidi"/>
          <w:sz w:val="28"/>
          <w:szCs w:val="28"/>
          <w:lang w:val="uk-UA"/>
        </w:rPr>
        <w:t>R</w:t>
      </w:r>
      <w:r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>вх</w:t>
      </w:r>
      <w:proofErr w:type="spellEnd"/>
      <w:r w:rsidR="00625A4E" w:rsidRPr="009225A1">
        <w:rPr>
          <w:rFonts w:asciiTheme="majorBidi" w:hAnsiTheme="majorBidi" w:cstheme="majorBidi"/>
          <w:sz w:val="28"/>
          <w:szCs w:val="28"/>
          <w:vertAlign w:val="subscript"/>
          <w:lang w:val="uk-UA"/>
        </w:rPr>
        <w:t xml:space="preserve"> 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= 2,6 кОм</w:t>
      </w:r>
      <w:r w:rsidR="00625A4E" w:rsidRPr="009225A1">
        <w:rPr>
          <w:rFonts w:asciiTheme="majorBidi" w:hAnsiTheme="majorBidi" w:cstheme="majorBidi"/>
          <w:sz w:val="28"/>
          <w:szCs w:val="28"/>
          <w:lang w:val="uk-UA"/>
        </w:rPr>
        <w:t>;</w:t>
      </w:r>
    </w:p>
    <w:p w:rsidR="001D0B54" w:rsidRPr="009225A1" w:rsidRDefault="001D0B54" w:rsidP="001D0B5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 xml:space="preserve">Якість роботи транзисторних підсилювачів визначається їх амплітудною, амплітудно-частотною та </w:t>
      </w:r>
      <w:r w:rsidR="001F1D2D"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фазочастотною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 xml:space="preserve"> характеристи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>ками.</w:t>
      </w:r>
    </w:p>
    <w:p w:rsidR="00185417" w:rsidRPr="009225A1" w:rsidRDefault="00185417" w:rsidP="00185417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0A2D37" w:rsidRPr="009225A1" w:rsidRDefault="000A2D37" w:rsidP="00185417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185417" w:rsidRPr="009225A1" w:rsidRDefault="00185417" w:rsidP="00185417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b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603885</wp:posOffset>
            </wp:positionH>
            <wp:positionV relativeFrom="margin">
              <wp:posOffset>6137910</wp:posOffset>
            </wp:positionV>
            <wp:extent cx="5715000" cy="3324225"/>
            <wp:effectExtent l="19050" t="0" r="19050" b="0"/>
            <wp:wrapSquare wrapText="bothSides"/>
            <wp:docPr id="2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Pr="009225A1">
        <w:rPr>
          <w:rFonts w:asciiTheme="majorBidi" w:hAnsiTheme="majorBidi" w:cstheme="majorBidi"/>
          <w:b/>
          <w:sz w:val="28"/>
          <w:szCs w:val="28"/>
          <w:lang w:val="uk-UA"/>
        </w:rPr>
        <w:t>АХА</w:t>
      </w: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lastRenderedPageBreak/>
        <w:t>Амплітудна характеристика виражає залежність амплітуди вихідної напруги підсилювача від амплітуди його вхідної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vertAlign w:val="superscript"/>
          <w:lang w:val="uk-UA"/>
        </w:rPr>
        <w:t xml:space="preserve"> 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 xml:space="preserve"> напруги при  фіксованій частоті.</w:t>
      </w: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 xml:space="preserve"> За її виглядом можна судити про величину нелі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>нійних спотворень, які викликані нелінійністю транзисторних характе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 xml:space="preserve">ристик і проявляються в змінах форми підсилених сигналів. </w:t>
      </w:r>
    </w:p>
    <w:p w:rsidR="000A2D37" w:rsidRPr="009225A1" w:rsidRDefault="000A2D3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Цим спот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>воренням на амплітудній характеристиці відповідає нелінійна ділян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>ка типу "насичення".</w:t>
      </w:r>
    </w:p>
    <w:p w:rsidR="000A2D37" w:rsidRPr="009225A1" w:rsidRDefault="000A2D37" w:rsidP="000A2D37">
      <w:pPr>
        <w:spacing w:after="0" w:line="240" w:lineRule="auto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b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622935</wp:posOffset>
            </wp:positionH>
            <wp:positionV relativeFrom="margin">
              <wp:posOffset>1823085</wp:posOffset>
            </wp:positionV>
            <wp:extent cx="5717540" cy="3276600"/>
            <wp:effectExtent l="19050" t="0" r="16510" b="0"/>
            <wp:wrapSquare wrapText="bothSides"/>
            <wp:docPr id="8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0A2D37" w:rsidRPr="009225A1" w:rsidRDefault="000A2D37" w:rsidP="000A2D37">
      <w:pPr>
        <w:spacing w:after="0" w:line="240" w:lineRule="auto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1D0B54" w:rsidRPr="009225A1" w:rsidRDefault="00185417" w:rsidP="000A2D37">
      <w:pPr>
        <w:spacing w:after="0" w:line="240" w:lineRule="auto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b/>
          <w:sz w:val="28"/>
          <w:szCs w:val="28"/>
          <w:lang w:val="uk-UA"/>
        </w:rPr>
        <w:t>АЧХ</w:t>
      </w:r>
    </w:p>
    <w:p w:rsidR="001F1D2D" w:rsidRPr="009225A1" w:rsidRDefault="001F1D2D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F1D2D" w:rsidRPr="009225A1" w:rsidRDefault="001F1D2D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85417" w:rsidRPr="009225A1" w:rsidRDefault="00185417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85417" w:rsidRPr="009225A1" w:rsidRDefault="00185417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85417" w:rsidRPr="009225A1" w:rsidRDefault="00185417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85417" w:rsidRPr="009225A1" w:rsidRDefault="00185417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85417" w:rsidRPr="009225A1" w:rsidRDefault="00185417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85417" w:rsidRPr="009225A1" w:rsidRDefault="00185417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85417" w:rsidRPr="009225A1" w:rsidRDefault="00185417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85417" w:rsidRPr="009225A1" w:rsidRDefault="00185417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85417" w:rsidRPr="009225A1" w:rsidRDefault="00185417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85417" w:rsidRPr="009225A1" w:rsidRDefault="00185417" w:rsidP="001F1D2D">
      <w:pPr>
        <w:spacing w:after="0" w:line="240" w:lineRule="auto"/>
        <w:jc w:val="both"/>
        <w:rPr>
          <w:b/>
          <w:sz w:val="28"/>
          <w:szCs w:val="28"/>
          <w:lang w:val="uk-UA"/>
        </w:rPr>
      </w:pPr>
    </w:p>
    <w:p w:rsidR="001F1D2D" w:rsidRPr="009225A1" w:rsidRDefault="001F1D2D" w:rsidP="001D0B54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1D0B54" w:rsidRPr="009225A1" w:rsidRDefault="001D0B54" w:rsidP="001D0B5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  <w:lang w:val="uk-UA"/>
        </w:rPr>
      </w:pPr>
    </w:p>
    <w:p w:rsidR="00185417" w:rsidRPr="009225A1" w:rsidRDefault="00185417" w:rsidP="001D0B5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  <w:lang w:val="uk-UA"/>
        </w:rPr>
      </w:pPr>
    </w:p>
    <w:p w:rsidR="000A2D37" w:rsidRPr="009225A1" w:rsidRDefault="000D05E7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Амп</w:t>
      </w:r>
      <w:r w:rsidR="001D0B54"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літудно-частотна характеристика показу</w:t>
      </w:r>
      <w:r w:rsidR="000A2D37"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є</w:t>
      </w:r>
      <w:r w:rsidR="001D0B54"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 xml:space="preserve"> залежність модуля коефіцієнта передачі від частоти при фіксованій напрузі підсилюва</w:t>
      </w:r>
      <w:r w:rsidR="001D0B54"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 xml:space="preserve">ного сигналу. </w:t>
      </w:r>
    </w:p>
    <w:p w:rsidR="000A2D37" w:rsidRPr="009225A1" w:rsidRDefault="001D0B54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За її виглядом можна судити про величину частотних спотворень, які обумовлені наявністю реактивних елементів і прояв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 xml:space="preserve">ляються в неоднаковості підсилення на різних частотах. </w:t>
      </w:r>
    </w:p>
    <w:p w:rsidR="001D0B54" w:rsidRPr="009225A1" w:rsidRDefault="001D0B54" w:rsidP="000A2D3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Важливим па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>раметром, який можна визначити за амплітудно-частотною характеристи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 xml:space="preserve">кою, є смуга пропускання. Вона визначається як різниця між верхньою </w:t>
      </w:r>
      <w:r w:rsidR="000A2D37"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і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 xml:space="preserve"> нижньою граничними частотами, на яких підсилення падає в </w:t>
      </w:r>
      <m:oMath>
        <m:f>
          <m:fPr>
            <m:type m:val="skw"/>
            <m:ctrlPr>
              <w:rPr>
                <w:rFonts w:ascii="Cambria Math" w:eastAsia="Times New Roman" w:hAnsi="Cambria Math" w:cstheme="majorBidi"/>
                <w:i/>
                <w:iCs/>
                <w:color w:val="000000"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uk-UA"/>
              </w:rPr>
              <m:t>1</m:t>
            </m:r>
          </m:num>
          <m:den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lang w:val="uk-UA"/>
              </w:rPr>
              <m:t>√2</m:t>
            </m:r>
          </m:den>
        </m:f>
      </m:oMath>
      <w:r w:rsidR="000A2D37" w:rsidRPr="009225A1">
        <w:rPr>
          <w:rFonts w:asciiTheme="majorBidi" w:eastAsia="Times New Roman" w:hAnsiTheme="majorBidi" w:cstheme="majorBidi"/>
          <w:iCs/>
          <w:color w:val="000000"/>
          <w:sz w:val="28"/>
          <w:szCs w:val="28"/>
          <w:lang w:val="uk-UA"/>
        </w:rPr>
        <w:t xml:space="preserve"> 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рази порівняно з областю середніх частот.</w:t>
      </w:r>
    </w:p>
    <w:p w:rsidR="001D0B54" w:rsidRPr="009225A1" w:rsidRDefault="001D0B54" w:rsidP="00430189">
      <w:pPr>
        <w:shd w:val="clear" w:color="auto" w:fill="FFFFFF"/>
        <w:autoSpaceDE w:val="0"/>
        <w:autoSpaceDN w:val="0"/>
        <w:adjustRightInd w:val="0"/>
        <w:spacing w:after="0"/>
        <w:ind w:firstLine="708"/>
        <w:rPr>
          <w:rFonts w:asciiTheme="majorBidi" w:hAnsiTheme="majorBidi" w:cstheme="majorBidi"/>
          <w:sz w:val="28"/>
          <w:szCs w:val="28"/>
          <w:lang w:val="uk-UA"/>
        </w:rPr>
      </w:pP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t>Замість амплітудно-частотних характеристик часто використову</w:t>
      </w:r>
      <w:r w:rsidRPr="009225A1"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  <w:softHyphen/>
        <w:t>ються їх  логарифмічні аналоги - логарифмічні амплітудно-частотні характеристики, в яких по осях вибирається логарифмічний масштаб.</w:t>
      </w:r>
    </w:p>
    <w:p w:rsidR="009225A1" w:rsidRPr="009225A1" w:rsidRDefault="009225A1" w:rsidP="00430189">
      <w:pPr>
        <w:shd w:val="clear" w:color="auto" w:fill="FFFFFF"/>
        <w:autoSpaceDE w:val="0"/>
        <w:autoSpaceDN w:val="0"/>
        <w:adjustRightInd w:val="0"/>
        <w:spacing w:after="0"/>
        <w:rPr>
          <w:rFonts w:asciiTheme="majorBidi" w:eastAsia="Times New Roman" w:hAnsiTheme="majorBidi" w:cstheme="majorBidi"/>
          <w:color w:val="000000"/>
          <w:sz w:val="28"/>
          <w:szCs w:val="28"/>
          <w:lang w:val="uk-UA"/>
        </w:rPr>
      </w:pPr>
    </w:p>
    <w:p w:rsidR="009225A1" w:rsidRPr="00430189" w:rsidRDefault="009225A1" w:rsidP="00430189">
      <w:pPr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9225A1">
        <w:rPr>
          <w:rFonts w:asciiTheme="majorBidi" w:hAnsiTheme="majorBidi" w:cstheme="majorBidi"/>
          <w:b/>
          <w:bCs/>
          <w:sz w:val="28"/>
          <w:szCs w:val="28"/>
          <w:lang w:val="uk-UA"/>
        </w:rPr>
        <w:t>Висновки:</w:t>
      </w:r>
      <w:r w:rsidR="00430189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 </w:t>
      </w:r>
      <w:r w:rsidRPr="009225A1">
        <w:rPr>
          <w:rFonts w:asciiTheme="majorBidi" w:hAnsiTheme="majorBidi" w:cstheme="majorBidi"/>
          <w:sz w:val="28"/>
          <w:szCs w:val="28"/>
          <w:lang w:val="uk-UA"/>
        </w:rPr>
        <w:t>Під час виконання цієї лабораторної роботи,  я дослідила принципи роботи транзисторних підсилювачів низької частоти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,зняла з приладу амплітудну, амплітудно-частотну та фазову характеристики.</w:t>
      </w:r>
    </w:p>
    <w:sectPr w:rsidR="009225A1" w:rsidRPr="00430189" w:rsidSect="001F1D2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5465"/>
    <w:multiLevelType w:val="hybridMultilevel"/>
    <w:tmpl w:val="204086AA"/>
    <w:lvl w:ilvl="0" w:tplc="0422000F">
      <w:start w:val="1"/>
      <w:numFmt w:val="decimal"/>
      <w:lvlText w:val="%1.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52CBA"/>
    <w:rsid w:val="000A2D37"/>
    <w:rsid w:val="000D05E7"/>
    <w:rsid w:val="00185417"/>
    <w:rsid w:val="001D0B54"/>
    <w:rsid w:val="001F1D2D"/>
    <w:rsid w:val="00430189"/>
    <w:rsid w:val="00625A4E"/>
    <w:rsid w:val="0064564B"/>
    <w:rsid w:val="00752CBA"/>
    <w:rsid w:val="009225A1"/>
    <w:rsid w:val="00B636DE"/>
    <w:rsid w:val="00BD4AEE"/>
    <w:rsid w:val="00C70C00"/>
    <w:rsid w:val="00D16B3B"/>
    <w:rsid w:val="00E70650"/>
    <w:rsid w:val="00F00CE0"/>
    <w:rsid w:val="00F21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CBA"/>
  </w:style>
  <w:style w:type="paragraph" w:styleId="4">
    <w:name w:val="heading 4"/>
    <w:basedOn w:val="a"/>
    <w:link w:val="40"/>
    <w:uiPriority w:val="9"/>
    <w:qFormat/>
    <w:rsid w:val="00752C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52C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752CBA"/>
  </w:style>
  <w:style w:type="paragraph" w:styleId="a3">
    <w:name w:val="Plain Text"/>
    <w:basedOn w:val="a"/>
    <w:link w:val="a4"/>
    <w:rsid w:val="00752CB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AU" w:eastAsia="ru-RU"/>
    </w:rPr>
  </w:style>
  <w:style w:type="character" w:customStyle="1" w:styleId="a4">
    <w:name w:val="Текст Знак"/>
    <w:basedOn w:val="a0"/>
    <w:link w:val="a3"/>
    <w:rsid w:val="00752CBA"/>
    <w:rPr>
      <w:rFonts w:ascii="Courier New" w:eastAsia="Times New Roman" w:hAnsi="Courier New" w:cs="Times New Roman"/>
      <w:sz w:val="20"/>
      <w:szCs w:val="20"/>
      <w:lang w:val="en-AU" w:eastAsia="ru-RU"/>
    </w:rPr>
  </w:style>
  <w:style w:type="paragraph" w:styleId="a5">
    <w:name w:val="List Paragraph"/>
    <w:basedOn w:val="a"/>
    <w:uiPriority w:val="34"/>
    <w:qFormat/>
    <w:rsid w:val="00D16B3B"/>
    <w:pPr>
      <w:ind w:left="720"/>
      <w:contextualSpacing/>
    </w:pPr>
    <w:rPr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F21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1026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B636D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7"/>
  <c:chart>
    <c:autoTitleDeleted val="1"/>
    <c:plotArea>
      <c:layout>
        <c:manualLayout>
          <c:layoutTarget val="inner"/>
          <c:xMode val="edge"/>
          <c:yMode val="edge"/>
          <c:x val="9.5905819147461491E-2"/>
          <c:y val="2.3183049231150273E-2"/>
          <c:w val="0.82598025502610273"/>
          <c:h val="0.78504363984222758"/>
        </c:manualLayout>
      </c:layout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U2, мВ</c:v>
                </c:pt>
              </c:strCache>
            </c:strRef>
          </c:tx>
          <c:dLbls>
            <c:dLbl>
              <c:idx val="0"/>
              <c:layout>
                <c:manualLayout>
                  <c:x val="0"/>
                  <c:y val="0.28590692440367282"/>
                </c:manualLayout>
              </c:layout>
              <c:dLblPos val="t"/>
              <c:showCatName val="1"/>
            </c:dLbl>
            <c:dLbl>
              <c:idx val="1"/>
              <c:layout>
                <c:manualLayout>
                  <c:x val="6.3252649500564889E-3"/>
                  <c:y val="0.52161292426128747"/>
                </c:manualLayout>
              </c:layout>
              <c:dLblPos val="t"/>
              <c:showCatName val="1"/>
            </c:dLbl>
            <c:dLbl>
              <c:idx val="2"/>
              <c:layout>
                <c:manualLayout>
                  <c:x val="1.0542384953111291E-2"/>
                  <c:y val="0.78637864988994943"/>
                </c:manualLayout>
              </c:layout>
              <c:dLblPos val="t"/>
              <c:showCatName val="1"/>
            </c:dLbl>
            <c:dLbl>
              <c:idx val="3"/>
              <c:delete val="1"/>
            </c:dLbl>
            <c:dLbl>
              <c:idx val="4"/>
              <c:layout>
                <c:manualLayout>
                  <c:x val="4.2169539812445325E-3"/>
                  <c:y val="0.80157437259313924"/>
                </c:manualLayout>
              </c:layout>
              <c:dLblPos val="t"/>
              <c:showCatName val="1"/>
            </c:dLbl>
            <c:dLbl>
              <c:idx val="5"/>
              <c:layout>
                <c:manualLayout>
                  <c:x val="4.2169539812445395E-3"/>
                  <c:y val="0.60782890812749979"/>
                </c:manualLayout>
              </c:layout>
              <c:dLblPos val="t"/>
              <c:showCatName val="1"/>
            </c:dLbl>
            <c:dLbl>
              <c:idx val="6"/>
              <c:layout>
                <c:manualLayout>
                  <c:x val="2.1084769906222602E-3"/>
                  <c:y val="0.57743746272112317"/>
                </c:manualLayout>
              </c:layout>
              <c:dLblPos val="t"/>
              <c:showCatName val="1"/>
            </c:dLbl>
            <c:dLbl>
              <c:idx val="7"/>
              <c:layout>
                <c:manualLayout>
                  <c:x val="-2.1084769906222602E-3"/>
                  <c:y val="0.56224174001793559"/>
                </c:manualLayout>
              </c:layout>
              <c:dLblPos val="t"/>
              <c:showCatName val="1"/>
            </c:dLbl>
            <c:dLbl>
              <c:idx val="8"/>
              <c:delete val="1"/>
            </c:dLbl>
            <c:dLbl>
              <c:idx val="9"/>
              <c:layout>
                <c:manualLayout>
                  <c:x val="0"/>
                  <c:y val="0.50145884920518591"/>
                </c:manualLayout>
              </c:layout>
              <c:dLblPos val="t"/>
              <c:showCatName val="1"/>
            </c:dLbl>
            <c:dLbl>
              <c:idx val="10"/>
              <c:layout>
                <c:manualLayout>
                  <c:x val="2.1084769906222602E-3"/>
                  <c:y val="0.47486633447460885"/>
                </c:manualLayout>
              </c:layout>
              <c:dLblPos val="t"/>
              <c:showCatName val="1"/>
            </c:dLbl>
            <c:dLbl>
              <c:idx val="11"/>
              <c:layout>
                <c:manualLayout>
                  <c:x val="2.1084769906222602E-3"/>
                  <c:y val="0.44067595839243628"/>
                </c:manualLayout>
              </c:layout>
              <c:dLblPos val="t"/>
              <c:showCatName val="1"/>
            </c:dLbl>
            <c:dLbl>
              <c:idx val="12"/>
              <c:layout>
                <c:manualLayout>
                  <c:x val="7.7309929898576554E-17"/>
                  <c:y val="0.37989306757968766"/>
                </c:manualLayout>
              </c:layout>
              <c:dLblPos val="t"/>
              <c:showCatName val="1"/>
            </c:dLbl>
            <c:dLbl>
              <c:idx val="13"/>
              <c:delete val="1"/>
            </c:dLbl>
            <c:dLblPos val="t"/>
            <c:showCatName val="1"/>
          </c:dLbls>
          <c:xVal>
            <c:numRef>
              <c:f>Лист1!$A$2:$A$6</c:f>
              <c:numCache>
                <c:formatCode>General</c:formatCode>
                <c:ptCount val="5"/>
                <c:pt idx="0">
                  <c:v>6</c:v>
                </c:pt>
                <c:pt idx="1">
                  <c:v>12</c:v>
                </c:pt>
                <c:pt idx="2">
                  <c:v>54</c:v>
                </c:pt>
                <c:pt idx="3">
                  <c:v>90</c:v>
                </c:pt>
                <c:pt idx="4">
                  <c:v>210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170</c:v>
                </c:pt>
                <c:pt idx="1">
                  <c:v>175</c:v>
                </c:pt>
                <c:pt idx="2">
                  <c:v>179</c:v>
                </c:pt>
                <c:pt idx="3">
                  <c:v>180</c:v>
                </c:pt>
                <c:pt idx="4">
                  <c:v>180</c:v>
                </c:pt>
              </c:numCache>
            </c:numRef>
          </c:yVal>
          <c:smooth val="1"/>
        </c:ser>
        <c:dLbls>
          <c:showVal val="1"/>
        </c:dLbls>
        <c:axId val="237947520"/>
        <c:axId val="238358528"/>
      </c:scatterChart>
      <c:valAx>
        <c:axId val="237947520"/>
        <c:scaling>
          <c:orientation val="minMax"/>
        </c:scaling>
        <c:axPos val="b"/>
        <c:majorGridlines/>
        <c:minorGridlines/>
        <c:numFmt formatCode="General" sourceLinked="1"/>
        <c:tickLblPos val="nextTo"/>
        <c:crossAx val="238358528"/>
        <c:crosses val="autoZero"/>
        <c:crossBetween val="midCat"/>
      </c:valAx>
      <c:valAx>
        <c:axId val="238358528"/>
        <c:scaling>
          <c:orientation val="minMax"/>
        </c:scaling>
        <c:axPos val="l"/>
        <c:majorGridlines/>
        <c:minorGridlines/>
        <c:numFmt formatCode="General" sourceLinked="1"/>
        <c:tickLblPos val="nextTo"/>
        <c:crossAx val="237947520"/>
        <c:crosses val="autoZero"/>
        <c:crossBetween val="midCat"/>
      </c:valAx>
    </c:plotArea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7"/>
  <c:chart>
    <c:autoTitleDeleted val="1"/>
    <c:plotArea>
      <c:layout>
        <c:manualLayout>
          <c:layoutTarget val="inner"/>
          <c:xMode val="edge"/>
          <c:yMode val="edge"/>
          <c:x val="8.6670847785435226E-2"/>
          <c:y val="0.12182124840793575"/>
          <c:w val="0.81029703704610523"/>
          <c:h val="0.71031071425498715"/>
        </c:manualLayout>
      </c:layout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U2/U1, В</c:v>
                </c:pt>
              </c:strCache>
            </c:strRef>
          </c:tx>
          <c:dLbls>
            <c:delete val="1"/>
          </c:dLbls>
          <c:xVal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3.15</c:v>
                </c:pt>
                <c:pt idx="1">
                  <c:v>3.05</c:v>
                </c:pt>
                <c:pt idx="2">
                  <c:v>2.66</c:v>
                </c:pt>
                <c:pt idx="3">
                  <c:v>2.19</c:v>
                </c:pt>
              </c:numCache>
            </c:numRef>
          </c:yVal>
          <c:smooth val="1"/>
        </c:ser>
        <c:dLbls>
          <c:showVal val="1"/>
        </c:dLbls>
        <c:axId val="241450368"/>
        <c:axId val="241453312"/>
      </c:scatterChart>
      <c:valAx>
        <c:axId val="241450368"/>
        <c:scaling>
          <c:orientation val="minMax"/>
        </c:scaling>
        <c:axPos val="b"/>
        <c:majorGridlines/>
        <c:minorGridlines/>
        <c:numFmt formatCode="General" sourceLinked="1"/>
        <c:tickLblPos val="nextTo"/>
        <c:crossAx val="241453312"/>
        <c:crosses val="autoZero"/>
        <c:crossBetween val="midCat"/>
      </c:valAx>
      <c:valAx>
        <c:axId val="241453312"/>
        <c:scaling>
          <c:orientation val="minMax"/>
        </c:scaling>
        <c:axPos val="l"/>
        <c:majorGridlines/>
        <c:minorGridlines/>
        <c:numFmt formatCode="General" sourceLinked="1"/>
        <c:tickLblPos val="nextTo"/>
        <c:crossAx val="241450368"/>
        <c:crosses val="autoZero"/>
        <c:crossBetween val="midCat"/>
      </c:valAx>
    </c:plotArea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0.90527</cdr:x>
      <cdr:y>0.75055</cdr:y>
    </cdr:from>
    <cdr:to>
      <cdr:x>0.9999</cdr:x>
      <cdr:y>0.84232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452720" y="2509113"/>
          <a:ext cx="569975" cy="3068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 baseline="0"/>
            <a:t>U</a:t>
          </a:r>
          <a:r>
            <a:rPr lang="en-US" sz="1100" baseline="-25000"/>
            <a:t>2</a:t>
          </a:r>
          <a:r>
            <a:rPr lang="uk-UA" sz="1100" baseline="0"/>
            <a:t>,</a:t>
          </a:r>
          <a:r>
            <a:rPr lang="en-US" sz="1100" baseline="0"/>
            <a:t> </a:t>
          </a:r>
          <a:r>
            <a:rPr lang="uk-UA" sz="1100" baseline="0"/>
            <a:t>мВ</a:t>
          </a:r>
          <a:endParaRPr lang="uk-UA" sz="1100"/>
        </a:p>
      </cdr:txBody>
    </cdr:sp>
  </cdr:relSizeAnchor>
  <cdr:relSizeAnchor xmlns:cdr="http://schemas.openxmlformats.org/drawingml/2006/chartDrawing">
    <cdr:from>
      <cdr:x>0.00898</cdr:x>
      <cdr:y>0.0268</cdr:y>
    </cdr:from>
    <cdr:to>
      <cdr:x>0.10614</cdr:x>
      <cdr:y>0.10722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9633" y="81942"/>
          <a:ext cx="537007" cy="24588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U</a:t>
          </a:r>
          <a:r>
            <a:rPr lang="uk-UA" sz="1100" baseline="-25000"/>
            <a:t>1</a:t>
          </a:r>
          <a:r>
            <a:rPr lang="uk-UA" sz="1100" baseline="0"/>
            <a:t>, мВ</a:t>
          </a:r>
          <a:endParaRPr lang="uk-UA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0.89729</cdr:x>
      <cdr:y>0.80186</cdr:y>
    </cdr:from>
    <cdr:to>
      <cdr:x>1</cdr:x>
      <cdr:y>0.87879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984546" y="2516428"/>
          <a:ext cx="570586" cy="2414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f</a:t>
          </a:r>
          <a:r>
            <a:rPr lang="uk-UA" sz="1100" baseline="0"/>
            <a:t>,</a:t>
          </a:r>
          <a:r>
            <a:rPr lang="en-US" sz="1100" baseline="0"/>
            <a:t> </a:t>
          </a:r>
          <a:r>
            <a:rPr lang="uk-UA" sz="1100" baseline="0"/>
            <a:t>КГц</a:t>
          </a:r>
          <a:endParaRPr lang="uk-UA" sz="1100"/>
        </a:p>
      </cdr:txBody>
    </cdr:sp>
  </cdr:relSizeAnchor>
  <cdr:relSizeAnchor xmlns:cdr="http://schemas.openxmlformats.org/drawingml/2006/chartDrawing">
    <cdr:from>
      <cdr:x>0.00898</cdr:x>
      <cdr:y>0.0268</cdr:y>
    </cdr:from>
    <cdr:to>
      <cdr:x>0.15854</cdr:x>
      <cdr:y>0.10723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9885" y="84104"/>
          <a:ext cx="830834" cy="2523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 baseline="0"/>
            <a:t>U</a:t>
          </a:r>
          <a:r>
            <a:rPr lang="en-US" sz="1100" baseline="-25000"/>
            <a:t>2</a:t>
          </a:r>
          <a:r>
            <a:rPr lang="en-US" sz="1100" baseline="0"/>
            <a:t>/U</a:t>
          </a:r>
          <a:r>
            <a:rPr lang="en-US" sz="1100" baseline="-25000"/>
            <a:t>1</a:t>
          </a:r>
          <a:r>
            <a:rPr lang="uk-UA" sz="1100" baseline="0"/>
            <a:t>, мВ</a:t>
          </a:r>
          <a:endParaRPr lang="uk-UA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D9BC3-A425-4D9D-BAB3-53730ACF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2011-05-30T02:49:00Z</dcterms:created>
  <dcterms:modified xsi:type="dcterms:W3CDTF">2011-05-30T02:49:00Z</dcterms:modified>
</cp:coreProperties>
</file>