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BA" w:rsidRPr="009225A1" w:rsidRDefault="00752CBA" w:rsidP="00752CBA">
      <w:pPr>
        <w:pStyle w:val="a3"/>
        <w:jc w:val="center"/>
        <w:rPr>
          <w:rFonts w:asciiTheme="majorBidi" w:eastAsia="MS Mincho" w:hAnsiTheme="majorBidi" w:cstheme="majorBidi"/>
          <w:sz w:val="36"/>
          <w:szCs w:val="36"/>
          <w:lang w:val="uk-UA"/>
        </w:rPr>
      </w:pPr>
      <w:r w:rsidRPr="009225A1">
        <w:rPr>
          <w:rFonts w:asciiTheme="majorBidi" w:eastAsia="MS Mincho" w:hAnsiTheme="majorBidi" w:cstheme="majorBidi"/>
          <w:sz w:val="36"/>
          <w:szCs w:val="36"/>
          <w:lang w:val="uk-UA"/>
        </w:rPr>
        <w:t>Львівський національний університет імені Івана Франка</w:t>
      </w:r>
    </w:p>
    <w:p w:rsidR="00752CBA" w:rsidRPr="009225A1" w:rsidRDefault="00752CBA" w:rsidP="00752CBA">
      <w:pPr>
        <w:pStyle w:val="4"/>
        <w:spacing w:before="0" w:beforeAutospacing="0" w:after="72" w:afterAutospacing="0" w:line="285" w:lineRule="atLeast"/>
        <w:jc w:val="center"/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</w:pPr>
      <w:r w:rsidRPr="009225A1">
        <w:rPr>
          <w:rFonts w:asciiTheme="majorBidi" w:eastAsia="MS Mincho" w:hAnsiTheme="majorBidi" w:cstheme="majorBidi"/>
          <w:b w:val="0"/>
          <w:bCs w:val="0"/>
          <w:sz w:val="36"/>
          <w:szCs w:val="36"/>
          <w:lang w:val="uk-UA"/>
        </w:rPr>
        <w:t xml:space="preserve">Кафедра </w:t>
      </w:r>
      <w:r w:rsidRPr="009225A1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  <w:t>радіофізики</w:t>
      </w: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b/>
          <w:sz w:val="48"/>
          <w:szCs w:val="48"/>
          <w:lang w:val="uk-UA"/>
        </w:rPr>
      </w:pPr>
      <w:r w:rsidRPr="009225A1">
        <w:rPr>
          <w:rFonts w:asciiTheme="majorBidi" w:eastAsia="Calibri" w:hAnsiTheme="majorBidi" w:cstheme="majorBidi"/>
          <w:b/>
          <w:sz w:val="48"/>
          <w:szCs w:val="48"/>
          <w:lang w:val="uk-UA"/>
        </w:rPr>
        <w:t>Звіт</w:t>
      </w: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про виконання лабораторної роботи №4</w:t>
      </w:r>
    </w:p>
    <w:p w:rsidR="00752CBA" w:rsidRPr="009225A1" w:rsidRDefault="00752CBA" w:rsidP="00752CBA">
      <w:pPr>
        <w:jc w:val="center"/>
        <w:rPr>
          <w:rFonts w:asciiTheme="majorBidi" w:hAnsiTheme="majorBidi" w:cstheme="majorBidi"/>
          <w:b/>
          <w:sz w:val="32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32"/>
          <w:szCs w:val="28"/>
          <w:lang w:val="uk-UA"/>
        </w:rPr>
        <w:t>ДОСЛІДЖЕННЯ ТРАНЗИСТОРНИХ ПІДСИЛЮВАЧІВ НИЗЬКОЇ ЧАСТОТИ</w:t>
      </w: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752CBA" w:rsidRPr="009225A1" w:rsidRDefault="00752CBA" w:rsidP="00752CBA">
      <w:pPr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</w:p>
    <w:p w:rsidR="00752CBA" w:rsidRPr="009225A1" w:rsidRDefault="00752CBA" w:rsidP="00752CBA">
      <w:pPr>
        <w:rPr>
          <w:rFonts w:asciiTheme="majorBidi" w:eastAsia="Calibri" w:hAnsiTheme="majorBidi" w:cstheme="majorBidi"/>
          <w:bCs/>
          <w:sz w:val="32"/>
          <w:szCs w:val="28"/>
          <w:lang w:val="uk-UA"/>
        </w:rPr>
      </w:pPr>
      <w:r w:rsidRPr="009225A1">
        <w:rPr>
          <w:rFonts w:asciiTheme="majorBidi" w:hAnsiTheme="majorBidi" w:cstheme="majorBidi"/>
          <w:bCs/>
          <w:sz w:val="32"/>
          <w:szCs w:val="28"/>
          <w:lang w:val="uk-UA"/>
        </w:rPr>
        <w:t xml:space="preserve">                                                                                        Виконала</w:t>
      </w:r>
    </w:p>
    <w:p w:rsidR="00752CBA" w:rsidRPr="009225A1" w:rsidRDefault="00752CBA" w:rsidP="00752CBA">
      <w:pPr>
        <w:ind w:left="6372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т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удентка Литвин Віри</w:t>
      </w:r>
    </w:p>
    <w:p w:rsidR="00752CBA" w:rsidRPr="009225A1" w:rsidRDefault="00752CBA" w:rsidP="00752CBA">
      <w:pPr>
        <w:ind w:left="5664" w:firstLine="708"/>
        <w:rPr>
          <w:rFonts w:asciiTheme="majorBidi" w:eastAsia="Calibri" w:hAnsiTheme="majorBidi" w:cstheme="majorBidi"/>
          <w:sz w:val="36"/>
          <w:szCs w:val="28"/>
          <w:lang w:val="uk-UA"/>
        </w:rPr>
      </w:pPr>
      <w:r w:rsidRPr="009225A1">
        <w:rPr>
          <w:rFonts w:asciiTheme="majorBidi" w:eastAsia="MS Mincho" w:hAnsiTheme="majorBidi" w:cstheme="majorBidi"/>
          <w:sz w:val="28"/>
          <w:szCs w:val="24"/>
          <w:lang w:val="uk-UA"/>
        </w:rPr>
        <w:t xml:space="preserve">Факультет </w:t>
      </w: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Електроніки</w:t>
      </w:r>
    </w:p>
    <w:p w:rsidR="00752CBA" w:rsidRPr="009225A1" w:rsidRDefault="00752CBA" w:rsidP="00752CBA">
      <w:pPr>
        <w:ind w:left="5664" w:firstLine="708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Груп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а</w:t>
      </w: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Феі</w:t>
      </w:r>
      <w:proofErr w:type="spellEnd"/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-12</w:t>
      </w:r>
    </w:p>
    <w:p w:rsidR="00752CBA" w:rsidRPr="009225A1" w:rsidRDefault="00752CBA" w:rsidP="00752CBA">
      <w:pPr>
        <w:ind w:left="6372" w:firstLine="708"/>
        <w:rPr>
          <w:rFonts w:asciiTheme="majorBidi" w:hAnsiTheme="majorBidi" w:cstheme="majorBidi"/>
          <w:sz w:val="32"/>
          <w:szCs w:val="32"/>
          <w:lang w:val="uk-UA"/>
        </w:rPr>
      </w:pPr>
      <w:r w:rsidRPr="009225A1">
        <w:rPr>
          <w:rFonts w:asciiTheme="majorBidi" w:eastAsia="Calibri" w:hAnsiTheme="majorBidi" w:cstheme="majorBidi"/>
          <w:sz w:val="32"/>
          <w:szCs w:val="32"/>
          <w:lang w:val="uk-UA"/>
        </w:rPr>
        <w:t xml:space="preserve">Викладач </w:t>
      </w:r>
      <w:r w:rsidRPr="009225A1">
        <w:rPr>
          <w:rFonts w:asciiTheme="majorBidi" w:hAnsiTheme="majorBidi" w:cstheme="majorBidi"/>
          <w:sz w:val="32"/>
          <w:szCs w:val="32"/>
          <w:lang w:val="uk-UA"/>
        </w:rPr>
        <w:t>:</w:t>
      </w:r>
    </w:p>
    <w:p w:rsidR="00752CBA" w:rsidRPr="009225A1" w:rsidRDefault="00D16B3B" w:rsidP="00D16B3B">
      <w:pPr>
        <w:ind w:left="5664"/>
        <w:rPr>
          <w:rFonts w:asciiTheme="majorBidi" w:eastAsia="Calibri" w:hAnsiTheme="majorBidi" w:cstheme="majorBidi"/>
          <w:b/>
          <w:sz w:val="32"/>
          <w:szCs w:val="32"/>
          <w:lang w:val="uk-UA"/>
        </w:rPr>
      </w:pPr>
      <w:r w:rsidRPr="009225A1">
        <w:rPr>
          <w:rStyle w:val="apple-style-span"/>
          <w:rFonts w:asciiTheme="majorBidi" w:hAnsiTheme="majorBidi" w:cstheme="majorBidi"/>
          <w:color w:val="000000"/>
          <w:sz w:val="36"/>
          <w:szCs w:val="36"/>
          <w:lang w:val="uk-UA"/>
        </w:rPr>
        <w:t xml:space="preserve">        </w:t>
      </w:r>
      <w:r w:rsidR="00752CBA" w:rsidRPr="009225A1">
        <w:rPr>
          <w:rStyle w:val="apple-style-span"/>
          <w:rFonts w:asciiTheme="majorBidi" w:hAnsiTheme="majorBidi" w:cstheme="majorBidi"/>
          <w:color w:val="000000"/>
          <w:sz w:val="32"/>
          <w:szCs w:val="32"/>
          <w:lang w:val="uk-UA"/>
        </w:rPr>
        <w:t>доц. Ковальчук М. Г.</w:t>
      </w:r>
    </w:p>
    <w:p w:rsidR="00752CBA" w:rsidRPr="009225A1" w:rsidRDefault="00752CBA" w:rsidP="00752CBA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752CBA" w:rsidRPr="009225A1" w:rsidRDefault="00752CBA" w:rsidP="00752CBA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752CBA" w:rsidRPr="009225A1" w:rsidRDefault="00752CBA" w:rsidP="00752CBA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D16B3B" w:rsidRPr="009225A1" w:rsidRDefault="00D16B3B" w:rsidP="00752CBA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D16B3B" w:rsidRPr="009225A1" w:rsidRDefault="00D16B3B" w:rsidP="00752CBA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752CBA" w:rsidRPr="009225A1" w:rsidRDefault="00752CBA" w:rsidP="00752CBA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9225A1">
        <w:rPr>
          <w:rFonts w:asciiTheme="majorBidi" w:eastAsia="Calibri" w:hAnsiTheme="majorBidi" w:cstheme="majorBidi"/>
          <w:bCs/>
          <w:sz w:val="28"/>
          <w:szCs w:val="28"/>
          <w:lang w:val="uk-UA"/>
        </w:rPr>
        <w:t>Львів 2011</w:t>
      </w:r>
    </w:p>
    <w:p w:rsidR="00D16B3B" w:rsidRPr="009225A1" w:rsidRDefault="00D16B3B" w:rsidP="00D16B3B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 xml:space="preserve">Завдання: 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Отримати у викладача вихідні дані(тип підсилювача, значення напруг і частот).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Скласти схему для експериментальних досліджень.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Визначити вхідний та вихідний опори каскаду.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Зняти амплітудну характеристику підсилювача і визначити за нею допустиму амплітуду вхідних сигналів.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Зняти ампліту</w:t>
      </w:r>
      <w:r w:rsidR="001D0B54" w:rsidRPr="009225A1">
        <w:rPr>
          <w:rFonts w:asciiTheme="majorBidi" w:hAnsiTheme="majorBidi" w:cstheme="majorBidi"/>
          <w:sz w:val="28"/>
          <w:szCs w:val="28"/>
        </w:rPr>
        <w:t>дно-частотну</w:t>
      </w:r>
      <w:r w:rsidRPr="009225A1">
        <w:rPr>
          <w:rFonts w:asciiTheme="majorBidi" w:hAnsiTheme="majorBidi" w:cstheme="majorBidi"/>
          <w:sz w:val="28"/>
          <w:szCs w:val="28"/>
        </w:rPr>
        <w:t xml:space="preserve"> характеристику підсилювача і визначити за нею смугу пропускання.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Зняти фазову характеристику підсилювача.</w:t>
      </w:r>
    </w:p>
    <w:p w:rsidR="00A46BA9" w:rsidRPr="009225A1" w:rsidRDefault="00D16B3B" w:rsidP="00F21026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Результати експериментів зобразити графічно.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Схема електричного  кола:</w:t>
      </w:r>
    </w:p>
    <w:p w:rsidR="00F21026" w:rsidRPr="009225A1" w:rsidRDefault="00F21026" w:rsidP="00F21026">
      <w:pPr>
        <w:ind w:left="708"/>
        <w:rPr>
          <w:rFonts w:asciiTheme="majorBidi" w:hAnsiTheme="majorBidi" w:cstheme="majorBidi"/>
          <w:noProof/>
          <w:lang w:val="uk-UA" w:eastAsia="uk-UA"/>
        </w:rPr>
      </w:pPr>
      <w:r w:rsidRPr="009225A1">
        <w:rPr>
          <w:rFonts w:asciiTheme="majorBidi" w:hAnsiTheme="majorBidi" w:cstheme="majorBidi"/>
          <w:noProof/>
          <w:lang w:val="uk-UA" w:eastAsia="ru-RU"/>
        </w:rPr>
        <w:drawing>
          <wp:inline distT="0" distB="0" distL="0" distR="0">
            <wp:extent cx="2801620" cy="2999105"/>
            <wp:effectExtent l="3810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280162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5A1">
        <w:rPr>
          <w:rFonts w:asciiTheme="majorBidi" w:hAnsiTheme="majorBidi" w:cstheme="majorBidi"/>
          <w:noProof/>
          <w:lang w:val="uk-UA" w:eastAsia="uk-UA"/>
        </w:rPr>
        <w:t xml:space="preserve"> </w:t>
      </w:r>
    </w:p>
    <w:p w:rsidR="00F21026" w:rsidRPr="009225A1" w:rsidRDefault="00F21026" w:rsidP="00F21026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Короткі теоретичні відомості: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>Транзисторним підсилювачем називається електронний пристрій призначений для збільшення потужності електричних сигналів без зміни їх частоти і форми. Цей ефект досягається з допомогою підсилювальних елементів – транзисторів, які виконують керуючі функції. Енергетичним резервуаром служить джерело живлення.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>У цій лабораторній роботі розглядається схема із спільним емітером (рисунок вище), яка забезпечує підсилення напруги, струму й потужності і внаслідок малої різниці між величинами вхідного й вихідного опорів дозволяє легко узгоджувати між собою окремі каскади в багато каскадному підсилювачі.</w:t>
      </w:r>
    </w:p>
    <w:p w:rsidR="00F21026" w:rsidRPr="009225A1" w:rsidRDefault="00F21026" w:rsidP="00F21026">
      <w:pPr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lastRenderedPageBreak/>
        <w:t>Дільник на опорах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та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забезпечує подачу на базу транзистора потрібної напруги зміщення. Опір </w:t>
      </w: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к</w:t>
      </w:r>
      <w:proofErr w:type="spellEnd"/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разом з опором </w:t>
      </w: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</w:t>
      </w:r>
      <w:proofErr w:type="spellEnd"/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утворюють опір навантаження колекторного кола для змінного струму. На цьому опорі відбувається падіння напруги підсиленого вхідного сигналу. Його від'ємна півхвиля викликає зростання струмів бази і колектора, що приводить до збільшення падіння напруги на опорі навантаження колекторного кола і зменшення абсолютної величини потенціалу колектора. Отже, в схемі із спільним емітером відбувається поворот фази вхідного сигналу на 180</w:t>
      </w:r>
      <w:r w:rsidRPr="009225A1">
        <w:rPr>
          <w:rFonts w:asciiTheme="majorBidi" w:cstheme="majorBidi"/>
          <w:sz w:val="28"/>
          <w:szCs w:val="28"/>
          <w:lang w:val="uk-UA"/>
        </w:rPr>
        <w:t>⁰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 xml:space="preserve">Опір </w:t>
      </w: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е</w:t>
      </w:r>
      <w:proofErr w:type="spellEnd"/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служить для температурної стабілізації робочої точки.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>Роздільні конденсатори С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р1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і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р2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запобігають протіканню постійних складових базового і колекторного струмів. Величини цих конденсаторів вибираються такими, щоб  в робочій області частот дані опори були незначними. Конденсатор С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е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усуває від’ємний зворотній зв’язок по змінній напрузі, який проводить до зменшення коефіцієнта підсилення.</w:t>
      </w:r>
    </w:p>
    <w:p w:rsidR="00B636DE" w:rsidRPr="009225A1" w:rsidRDefault="00B636DE" w:rsidP="00E70650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Робоч</w:t>
      </w:r>
      <w:r w:rsidR="00E70650"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а </w:t>
      </w: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формул</w:t>
      </w:r>
      <w:r w:rsidR="00E70650"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а</w:t>
      </w: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:</w:t>
      </w:r>
    </w:p>
    <w:p w:rsidR="00F21026" w:rsidRPr="009225A1" w:rsidRDefault="00B636DE" w:rsidP="00B636DE">
      <w:pPr>
        <w:rPr>
          <w:rFonts w:asciiTheme="majorBidi" w:hAnsiTheme="majorBidi" w:cstheme="majorBidi"/>
          <w:sz w:val="28"/>
          <w:szCs w:val="28"/>
          <w:rtl/>
          <w:lang w:val="uk-UA"/>
        </w:rPr>
      </w:pP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вих</w:t>
      </w:r>
      <w:proofErr w:type="spellEnd"/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≈[R 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R 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(U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-U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)]/ (U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– 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F21026" w:rsidRPr="009225A1" w:rsidRDefault="00E70650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Результати вимірювань і обчислень:</w:t>
      </w:r>
    </w:p>
    <w:p w:rsidR="00E70650" w:rsidRPr="009225A1" w:rsidRDefault="00E70650">
      <w:pPr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вих</w:t>
      </w:r>
      <w:proofErr w:type="spellEnd"/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=70 Ом;</w:t>
      </w:r>
    </w:p>
    <w:p w:rsidR="00625A4E" w:rsidRPr="009225A1" w:rsidRDefault="00E70650" w:rsidP="00625A4E">
      <w:pPr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вх</w:t>
      </w:r>
      <w:proofErr w:type="spellEnd"/>
      <w:r w:rsidR="00625A4E"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= 2,6 кОм</w:t>
      </w:r>
      <w:r w:rsidR="00625A4E" w:rsidRPr="009225A1">
        <w:rPr>
          <w:rFonts w:asciiTheme="majorBidi" w:hAnsiTheme="majorBidi" w:cstheme="majorBidi"/>
          <w:sz w:val="28"/>
          <w:szCs w:val="28"/>
          <w:lang w:val="uk-UA"/>
        </w:rPr>
        <w:t>;</w:t>
      </w:r>
    </w:p>
    <w:p w:rsidR="001D0B54" w:rsidRPr="009225A1" w:rsidRDefault="001D0B54" w:rsidP="001D0B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Якість роботи транзисторних підсилювачів визначається їх амплітудною, амплітудно-частотною та </w:t>
      </w:r>
      <w:r w:rsidR="001F1D2D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фазочастотною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характеристи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ками.</w:t>
      </w:r>
    </w:p>
    <w:p w:rsidR="00185417" w:rsidRPr="009225A1" w:rsidRDefault="00185417" w:rsidP="0018541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0A2D37" w:rsidRPr="009225A1" w:rsidRDefault="000A2D37" w:rsidP="0018541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85417" w:rsidRPr="009225A1" w:rsidRDefault="00185417" w:rsidP="0018541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603885</wp:posOffset>
            </wp:positionH>
            <wp:positionV relativeFrom="margin">
              <wp:posOffset>6137910</wp:posOffset>
            </wp:positionV>
            <wp:extent cx="5715000" cy="3324225"/>
            <wp:effectExtent l="19050" t="0" r="19050" b="0"/>
            <wp:wrapSquare wrapText="bothSides"/>
            <wp:docPr id="2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АХА</w:t>
      </w: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lastRenderedPageBreak/>
        <w:t>Амплітудна характеристика виражає залежність амплітуди вихідної напруги підсилювача від амплітуди його вхідної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  <w:lang w:val="uk-UA"/>
        </w:rPr>
        <w:t xml:space="preserve"> 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напруги при  фіксованій частоті.</w:t>
      </w: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За її виглядом можна судити про величину нелі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нійних спотворень, які викликані нелінійністю транзисторних характе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ристик і проявляються в змінах форми підсилених сигналів. </w:t>
      </w: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Цим спот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воренням на амплітудній характеристиці відповідає нелінійна ділян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ка типу "насичення".</w:t>
      </w:r>
    </w:p>
    <w:p w:rsidR="000A2D37" w:rsidRPr="009225A1" w:rsidRDefault="000A2D37" w:rsidP="000A2D37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622935</wp:posOffset>
            </wp:positionH>
            <wp:positionV relativeFrom="margin">
              <wp:posOffset>1823085</wp:posOffset>
            </wp:positionV>
            <wp:extent cx="5717540" cy="3276600"/>
            <wp:effectExtent l="19050" t="0" r="16510" b="0"/>
            <wp:wrapSquare wrapText="bothSides"/>
            <wp:docPr id="8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0A2D37" w:rsidRPr="009225A1" w:rsidRDefault="000A2D37" w:rsidP="000A2D37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D0B54" w:rsidRPr="009225A1" w:rsidRDefault="00185417" w:rsidP="000A2D37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АЧХ</w:t>
      </w:r>
    </w:p>
    <w:p w:rsidR="001F1D2D" w:rsidRPr="009225A1" w:rsidRDefault="001F1D2D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F1D2D" w:rsidRPr="009225A1" w:rsidRDefault="001F1D2D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F1D2D" w:rsidRPr="009225A1" w:rsidRDefault="001F1D2D" w:rsidP="001D0B54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D0B54" w:rsidRPr="009225A1" w:rsidRDefault="001D0B54" w:rsidP="001D0B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uk-UA"/>
        </w:rPr>
      </w:pPr>
    </w:p>
    <w:p w:rsidR="00185417" w:rsidRPr="009225A1" w:rsidRDefault="00185417" w:rsidP="001D0B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uk-UA"/>
        </w:rPr>
      </w:pPr>
    </w:p>
    <w:p w:rsidR="00185417" w:rsidRPr="009225A1" w:rsidRDefault="00185417" w:rsidP="001D0B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uk-UA"/>
        </w:rPr>
      </w:pPr>
    </w:p>
    <w:p w:rsidR="000A2D37" w:rsidRPr="009225A1" w:rsidRDefault="000D05E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Амп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літудно-частотна характеристика показу</w:t>
      </w:r>
      <w:r w:rsidR="000A2D37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є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залежність модуля коефіцієнта передачі від частоти при фіксованій напрузі підсилюва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ного сигналу. </w:t>
      </w:r>
    </w:p>
    <w:p w:rsidR="000A2D37" w:rsidRPr="009225A1" w:rsidRDefault="001D0B54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За її виглядом можна судити про величину частотних спотворень, які обумовлені наявністю реактивних елементів і прояв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ляються в неоднаковості підсилення на різних частотах. </w:t>
      </w:r>
    </w:p>
    <w:p w:rsidR="001D0B54" w:rsidRPr="009225A1" w:rsidRDefault="001D0B54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Важливим па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раметром, який можна визначити за амплітудно-частотною характеристи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кою, є смуга пропускання. Вона визначається як різниця між верхньою </w:t>
      </w:r>
      <w:r w:rsidR="000A2D37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і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нижньою граничними частотами, на яких підсилення падає в </w:t>
      </w:r>
      <m:oMath>
        <m:f>
          <m:fPr>
            <m:type m:val="skw"/>
            <m:ctrlPr>
              <w:rPr>
                <w:rFonts w:ascii="Cambria Math" w:eastAsia="Times New Roman" w:hAnsi="Cambria Math" w:cstheme="majorBidi"/>
                <w:i/>
                <w:iCs/>
                <w:color w:val="00000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uk-UA"/>
              </w:rPr>
              <m:t>√2</m:t>
            </m:r>
          </m:den>
        </m:f>
      </m:oMath>
      <w:r w:rsidR="000A2D37" w:rsidRPr="009225A1">
        <w:rPr>
          <w:rFonts w:asciiTheme="majorBidi" w:eastAsia="Times New Roman" w:hAnsiTheme="majorBidi" w:cstheme="majorBidi"/>
          <w:iCs/>
          <w:color w:val="000000"/>
          <w:sz w:val="28"/>
          <w:szCs w:val="28"/>
          <w:lang w:val="uk-UA"/>
        </w:rPr>
        <w:t xml:space="preserve"> 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рази порівняно з областю середніх частот.</w:t>
      </w:r>
    </w:p>
    <w:p w:rsidR="001D0B54" w:rsidRPr="009225A1" w:rsidRDefault="001D0B54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Замість амплітудно-частотних характеристик часто використову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ються їх  логарифмічні аналоги - логарифмічні амплітудно-частотні характеристики, в яких по осях вибирається логарифмічний масштаб.</w:t>
      </w:r>
    </w:p>
    <w:p w:rsidR="000A2D37" w:rsidRPr="009225A1" w:rsidRDefault="009225A1" w:rsidP="009225A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object w:dxaOrig="5160" w:dyaOrig="1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96.75pt" o:ole="">
            <v:imagedata r:id="rId9" o:title=""/>
          </v:shape>
          <o:OLEObject Type="Embed" ProgID="Visio.Drawing.11" ShapeID="_x0000_i1025" DrawAspect="Content" ObjectID="_1368241497" r:id="rId10"/>
        </w:object>
      </w:r>
    </w:p>
    <w:p w:rsidR="009225A1" w:rsidRPr="009225A1" w:rsidRDefault="009225A1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9225A1" w:rsidRPr="009225A1" w:rsidRDefault="000D05E7" w:rsidP="009225A1">
      <w:pPr>
        <w:spacing w:after="0"/>
        <w:ind w:firstLine="540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Фазочастотна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характеристика виражає залежність фазового зсу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ву між вихідним та вхідним сигналами від частоти. </w:t>
      </w:r>
    </w:p>
    <w:p w:rsidR="000A2D37" w:rsidRPr="009225A1" w:rsidRDefault="009225A1" w:rsidP="009225A1">
      <w:pPr>
        <w:spacing w:after="0"/>
        <w:ind w:firstLine="54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Фазову характеристику будують окремо для області нижніх і окремо для області верхніх частот. </w:t>
      </w:r>
    </w:p>
    <w:p w:rsidR="001D0B54" w:rsidRPr="009225A1" w:rsidRDefault="001D0B54" w:rsidP="009225A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Фазові спотворен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ня викликані тими ж причинами, що </w:t>
      </w:r>
      <w:r w:rsidR="000A2D37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й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частотні, і зникають при умові лінійної    залежності зсуву фаз від частоти.</w:t>
      </w:r>
    </w:p>
    <w:p w:rsidR="001D0B54" w:rsidRPr="009225A1" w:rsidRDefault="001D0B54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Часто вживаються логарифмічні </w:t>
      </w:r>
      <w:r w:rsidR="000D05E7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фазочастотні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характеристики, в яких по осі</w:t>
      </w:r>
      <w:r w:rsidR="000A2D37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ч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астот вибраний логарифмічний масштаб.</w:t>
      </w:r>
    </w:p>
    <w:p w:rsidR="001D0B54" w:rsidRPr="009225A1" w:rsidRDefault="001D0B54" w:rsidP="000A2D37">
      <w:pPr>
        <w:ind w:firstLine="540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Як частотні, так і фазові спотворення є спотвореннями лінійни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ми.</w:t>
      </w:r>
    </w:p>
    <w:p w:rsidR="001F1D2D" w:rsidRPr="009225A1" w:rsidRDefault="001F1D2D" w:rsidP="001F1D2D">
      <w:pPr>
        <w:ind w:firstLine="54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Умовою неспотвореного підсилення сигналу є пропорційність фазового зсуву, який вноситься підсилювачем, частоті підсиленого сигналу, тому ідеальною фазовою характеристикою підсилювача є пряма 2, яка проходить через початок координат. </w:t>
      </w:r>
    </w:p>
    <w:p w:rsidR="001F1D2D" w:rsidRPr="009225A1" w:rsidRDefault="001F1D2D" w:rsidP="001F1D2D">
      <w:pPr>
        <w:ind w:firstLine="54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>Фазові спотворення підсилювача на верхніх частотах оцінюються як різниця ординат фазової характеристики і дотичної до неї, яка проходить через початок координат.</w:t>
      </w:r>
    </w:p>
    <w:p w:rsidR="001F1D2D" w:rsidRPr="009225A1" w:rsidRDefault="001F1D2D" w:rsidP="001F1D2D">
      <w:pPr>
        <w:ind w:firstLine="54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В області нижніх частот ідеальна фазова характеристика майже збігається  з віссю абсцис і фазові спотворення практично дорівнюють куту фазового зсуву, який вноситься підсилювачем.</w:t>
      </w:r>
    </w:p>
    <w:p w:rsidR="001F1D2D" w:rsidRPr="009225A1" w:rsidRDefault="009225A1" w:rsidP="001D0B54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Висновки:</w:t>
      </w:r>
    </w:p>
    <w:p w:rsidR="009225A1" w:rsidRPr="009225A1" w:rsidRDefault="009225A1" w:rsidP="009225A1">
      <w:pPr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>Під час виконання цієї лабораторної роботи,  я дослідила принципи роботи транзисторних підсилювачів низької частоти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,зняла з приладу амплітудну, амплітудно-частотну та фазову характеристики.</w:t>
      </w:r>
    </w:p>
    <w:sectPr w:rsidR="009225A1" w:rsidRPr="009225A1" w:rsidSect="001F1D2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2CBA"/>
    <w:rsid w:val="000A2D37"/>
    <w:rsid w:val="000D05E7"/>
    <w:rsid w:val="00185417"/>
    <w:rsid w:val="001D0B54"/>
    <w:rsid w:val="001F1D2D"/>
    <w:rsid w:val="00625A4E"/>
    <w:rsid w:val="0064564B"/>
    <w:rsid w:val="00752CBA"/>
    <w:rsid w:val="009225A1"/>
    <w:rsid w:val="00B636DE"/>
    <w:rsid w:val="00BD4AEE"/>
    <w:rsid w:val="00C70C00"/>
    <w:rsid w:val="00D16B3B"/>
    <w:rsid w:val="00E70650"/>
    <w:rsid w:val="00F00CE0"/>
    <w:rsid w:val="00F2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BA"/>
  </w:style>
  <w:style w:type="paragraph" w:styleId="4">
    <w:name w:val="heading 4"/>
    <w:basedOn w:val="a"/>
    <w:link w:val="40"/>
    <w:uiPriority w:val="9"/>
    <w:qFormat/>
    <w:rsid w:val="00752C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52C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52CBA"/>
  </w:style>
  <w:style w:type="paragraph" w:styleId="a3">
    <w:name w:val="Plain Text"/>
    <w:basedOn w:val="a"/>
    <w:link w:val="a4"/>
    <w:rsid w:val="00752CB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752CBA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D16B3B"/>
    <w:pPr>
      <w:ind w:left="720"/>
      <w:contextualSpacing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F2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102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636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7"/>
  <c:chart>
    <c:autoTitleDeleted val="1"/>
    <c:plotArea>
      <c:layout>
        <c:manualLayout>
          <c:layoutTarget val="inner"/>
          <c:xMode val="edge"/>
          <c:yMode val="edge"/>
          <c:x val="9.5905819147461491E-2"/>
          <c:y val="2.3183049231150273E-2"/>
          <c:w val="0.82598025502610273"/>
          <c:h val="0.78504363984222758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U2, мВ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0.28590692440367282"/>
                </c:manualLayout>
              </c:layout>
              <c:dLblPos val="t"/>
              <c:showCatName val="1"/>
            </c:dLbl>
            <c:dLbl>
              <c:idx val="1"/>
              <c:layout>
                <c:manualLayout>
                  <c:x val="6.3252649500564889E-3"/>
                  <c:y val="0.52161292426128747"/>
                </c:manualLayout>
              </c:layout>
              <c:dLblPos val="t"/>
              <c:showCatName val="1"/>
            </c:dLbl>
            <c:dLbl>
              <c:idx val="2"/>
              <c:layout>
                <c:manualLayout>
                  <c:x val="1.0542384953111291E-2"/>
                  <c:y val="0.78637864988994943"/>
                </c:manualLayout>
              </c:layout>
              <c:dLblPos val="t"/>
              <c:showCatName val="1"/>
            </c:dLbl>
            <c:dLbl>
              <c:idx val="3"/>
              <c:delete val="1"/>
            </c:dLbl>
            <c:dLbl>
              <c:idx val="4"/>
              <c:layout>
                <c:manualLayout>
                  <c:x val="4.2169539812445325E-3"/>
                  <c:y val="0.80157437259313924"/>
                </c:manualLayout>
              </c:layout>
              <c:dLblPos val="t"/>
              <c:showCatName val="1"/>
            </c:dLbl>
            <c:dLbl>
              <c:idx val="5"/>
              <c:layout>
                <c:manualLayout>
                  <c:x val="4.2169539812445395E-3"/>
                  <c:y val="0.60782890812749979"/>
                </c:manualLayout>
              </c:layout>
              <c:dLblPos val="t"/>
              <c:showCatName val="1"/>
            </c:dLbl>
            <c:dLbl>
              <c:idx val="6"/>
              <c:layout>
                <c:manualLayout>
                  <c:x val="2.1084769906222602E-3"/>
                  <c:y val="0.57743746272112317"/>
                </c:manualLayout>
              </c:layout>
              <c:dLblPos val="t"/>
              <c:showCatName val="1"/>
            </c:dLbl>
            <c:dLbl>
              <c:idx val="7"/>
              <c:layout>
                <c:manualLayout>
                  <c:x val="-2.1084769906222602E-3"/>
                  <c:y val="0.56224174001793559"/>
                </c:manualLayout>
              </c:layout>
              <c:dLblPos val="t"/>
              <c:showCatName val="1"/>
            </c:dLbl>
            <c:dLbl>
              <c:idx val="8"/>
              <c:delete val="1"/>
            </c:dLbl>
            <c:dLbl>
              <c:idx val="9"/>
              <c:layout>
                <c:manualLayout>
                  <c:x val="0"/>
                  <c:y val="0.50145884920518591"/>
                </c:manualLayout>
              </c:layout>
              <c:dLblPos val="t"/>
              <c:showCatName val="1"/>
            </c:dLbl>
            <c:dLbl>
              <c:idx val="10"/>
              <c:layout>
                <c:manualLayout>
                  <c:x val="2.1084769906222602E-3"/>
                  <c:y val="0.47486633447460885"/>
                </c:manualLayout>
              </c:layout>
              <c:dLblPos val="t"/>
              <c:showCatName val="1"/>
            </c:dLbl>
            <c:dLbl>
              <c:idx val="11"/>
              <c:layout>
                <c:manualLayout>
                  <c:x val="2.1084769906222602E-3"/>
                  <c:y val="0.44067595839243628"/>
                </c:manualLayout>
              </c:layout>
              <c:dLblPos val="t"/>
              <c:showCatName val="1"/>
            </c:dLbl>
            <c:dLbl>
              <c:idx val="12"/>
              <c:layout>
                <c:manualLayout>
                  <c:x val="7.7309929898576554E-17"/>
                  <c:y val="0.37989306757968766"/>
                </c:manualLayout>
              </c:layout>
              <c:dLblPos val="t"/>
              <c:showCatName val="1"/>
            </c:dLbl>
            <c:dLbl>
              <c:idx val="13"/>
              <c:delete val="1"/>
            </c:dLbl>
            <c:dLblPos val="t"/>
            <c:showCatName val="1"/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54</c:v>
                </c:pt>
                <c:pt idx="3">
                  <c:v>90</c:v>
                </c:pt>
                <c:pt idx="4">
                  <c:v>210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170</c:v>
                </c:pt>
                <c:pt idx="1">
                  <c:v>175</c:v>
                </c:pt>
                <c:pt idx="2">
                  <c:v>179</c:v>
                </c:pt>
                <c:pt idx="3">
                  <c:v>180</c:v>
                </c:pt>
                <c:pt idx="4">
                  <c:v>180</c:v>
                </c:pt>
              </c:numCache>
            </c:numRef>
          </c:yVal>
          <c:smooth val="1"/>
        </c:ser>
        <c:dLbls>
          <c:showVal val="1"/>
        </c:dLbls>
        <c:axId val="195710336"/>
        <c:axId val="195751936"/>
      </c:scatterChart>
      <c:valAx>
        <c:axId val="195710336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195751936"/>
        <c:crosses val="autoZero"/>
        <c:crossBetween val="midCat"/>
      </c:valAx>
      <c:valAx>
        <c:axId val="195751936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195710336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7"/>
  <c:chart>
    <c:autoTitleDeleted val="1"/>
    <c:plotArea>
      <c:layout>
        <c:manualLayout>
          <c:layoutTarget val="inner"/>
          <c:xMode val="edge"/>
          <c:yMode val="edge"/>
          <c:x val="8.6670847785435226E-2"/>
          <c:y val="0.12182124840793575"/>
          <c:w val="0.81029703704610523"/>
          <c:h val="0.71031071425498715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U2/U1, В</c:v>
                </c:pt>
              </c:strCache>
            </c:strRef>
          </c:tx>
          <c:dLbls>
            <c:delete val="1"/>
          </c:dLbls>
          <c:xVal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3.15</c:v>
                </c:pt>
                <c:pt idx="1">
                  <c:v>3.05</c:v>
                </c:pt>
                <c:pt idx="2">
                  <c:v>2.66</c:v>
                </c:pt>
                <c:pt idx="3">
                  <c:v>2.19</c:v>
                </c:pt>
              </c:numCache>
            </c:numRef>
          </c:yVal>
          <c:smooth val="1"/>
        </c:ser>
        <c:dLbls>
          <c:showVal val="1"/>
        </c:dLbls>
        <c:axId val="203168768"/>
        <c:axId val="203179136"/>
      </c:scatterChart>
      <c:valAx>
        <c:axId val="203168768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203179136"/>
        <c:crosses val="autoZero"/>
        <c:crossBetween val="midCat"/>
      </c:valAx>
      <c:valAx>
        <c:axId val="203179136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203168768"/>
        <c:crosses val="autoZero"/>
        <c:crossBetween val="midCat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0.90527</cdr:x>
      <cdr:y>0.75055</cdr:y>
    </cdr:from>
    <cdr:to>
      <cdr:x>0.9999</cdr:x>
      <cdr:y>0.84232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52720" y="2509113"/>
          <a:ext cx="569975" cy="3068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U</a:t>
          </a:r>
          <a:r>
            <a:rPr lang="en-US" sz="1100" baseline="-25000"/>
            <a:t>2</a:t>
          </a:r>
          <a:r>
            <a:rPr lang="uk-UA" sz="1100" baseline="0"/>
            <a:t>,</a:t>
          </a:r>
          <a:r>
            <a:rPr lang="en-US" sz="1100" baseline="0"/>
            <a:t> </a:t>
          </a:r>
          <a:r>
            <a:rPr lang="uk-UA" sz="1100" baseline="0"/>
            <a:t>мВ</a:t>
          </a:r>
          <a:endParaRPr lang="uk-UA" sz="1100"/>
        </a:p>
      </cdr:txBody>
    </cdr:sp>
  </cdr:relSizeAnchor>
  <cdr:relSizeAnchor xmlns:cdr="http://schemas.openxmlformats.org/drawingml/2006/chartDrawing">
    <cdr:from>
      <cdr:x>0.00898</cdr:x>
      <cdr:y>0.0268</cdr:y>
    </cdr:from>
    <cdr:to>
      <cdr:x>0.10614</cdr:x>
      <cdr:y>0.10722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9633" y="81942"/>
          <a:ext cx="537007" cy="2458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uk-UA" sz="1100" baseline="-25000"/>
            <a:t>1</a:t>
          </a:r>
          <a:r>
            <a:rPr lang="uk-UA" sz="1100" baseline="0"/>
            <a:t>, мВ</a:t>
          </a:r>
          <a:endParaRPr lang="uk-UA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0.89729</cdr:x>
      <cdr:y>0.80186</cdr:y>
    </cdr:from>
    <cdr:to>
      <cdr:x>1</cdr:x>
      <cdr:y>0.87879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984546" y="2516428"/>
          <a:ext cx="570586" cy="2414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</a:t>
          </a:r>
          <a:r>
            <a:rPr lang="uk-UA" sz="1100" baseline="0"/>
            <a:t>,</a:t>
          </a:r>
          <a:r>
            <a:rPr lang="en-US" sz="1100" baseline="0"/>
            <a:t> </a:t>
          </a:r>
          <a:r>
            <a:rPr lang="uk-UA" sz="1100" baseline="0"/>
            <a:t>КГц</a:t>
          </a:r>
          <a:endParaRPr lang="uk-UA" sz="1100"/>
        </a:p>
      </cdr:txBody>
    </cdr:sp>
  </cdr:relSizeAnchor>
  <cdr:relSizeAnchor xmlns:cdr="http://schemas.openxmlformats.org/drawingml/2006/chartDrawing">
    <cdr:from>
      <cdr:x>0.00898</cdr:x>
      <cdr:y>0.0268</cdr:y>
    </cdr:from>
    <cdr:to>
      <cdr:x>0.15854</cdr:x>
      <cdr:y>0.10723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9885" y="84104"/>
          <a:ext cx="830834" cy="2523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U</a:t>
          </a:r>
          <a:r>
            <a:rPr lang="en-US" sz="1100" baseline="-25000"/>
            <a:t>2</a:t>
          </a:r>
          <a:r>
            <a:rPr lang="en-US" sz="1100" baseline="0"/>
            <a:t>/U</a:t>
          </a:r>
          <a:r>
            <a:rPr lang="en-US" sz="1100" baseline="-25000"/>
            <a:t>1</a:t>
          </a:r>
          <a:r>
            <a:rPr lang="uk-UA" sz="1100" baseline="0"/>
            <a:t>, мВ</a:t>
          </a:r>
          <a:endParaRPr lang="uk-UA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A09F7-14ED-4101-9305-49F4CB12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2011-05-29T09:13:00Z</dcterms:created>
  <dcterms:modified xsi:type="dcterms:W3CDTF">2011-05-30T02:47:00Z</dcterms:modified>
</cp:coreProperties>
</file>