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7233B"/>
          <w:sz w:val="56"/>
          <w:szCs w:val="56"/>
        </w:rPr>
        <w:t xml:space="preserve">REGULUS</w:t>
      </w:r>
    </w:p>
    <w:p>
      <w:pPr>
        <w:spacing w:after="400"/>
        <w:jc w:val="center"/>
      </w:pPr>
      <w:r>
        <w:rPr>
          <w:color w:val="9C7420"/>
          <w:sz w:val="36"/>
          <w:szCs w:val="36"/>
        </w:rPr>
        <w:t xml:space="preserve">Client Review Packet</w:t>
      </w:r>
    </w:p>
    <w:p>
      <w:pPr>
        <w:spacing w:after="120"/>
        <w:jc w:val="center"/>
      </w:pPr>
      <w:r>
        <w:rPr>
          <w:b/>
          <w:bCs/>
          <w:color w:val="17233B"/>
          <w:sz w:val="30"/>
          <w:szCs w:val="30"/>
        </w:rPr>
        <w:t xml:space="preserve">Home Is the Foundation Restoration</w:t>
      </w:r>
    </w:p>
    <w:p>
      <w:pPr>
        <w:spacing w:after="1200"/>
        <w:jc w:val="center"/>
      </w:pPr>
      <w:r>
        <w:rPr>
          <w:color w:val="5A6272"/>
          <w:sz w:val="22"/>
          <w:szCs w:val="22"/>
        </w:rPr>
        <w:t xml:space="preserve">West Liberty, Morgan County, Kentucky  ·  Prepared August 20, 2026</w:t>
      </w:r>
    </w:p>
    <w:p>
      <w:pPr>
        <w:jc w:val="center"/>
      </w:pPr>
      <w:r>
        <w:rPr>
          <w:color w:val="5A6272"/>
          <w:sz w:val="20"/>
          <w:szCs w:val="20"/>
        </w:rPr>
        <w:t xml:space="preserve">Contents: Fundability Read · Opportunity Summary · Go-Decision Items · Walmart Spark Good Application Draft with Source Map · Partner-Ask Letters · Data Room Checklist · Submission Checklist</w:t>
      </w:r>
    </w:p>
    <w:p>
      <w:pPr>
        <w:spacing w:before="2000"/>
        <w:jc w:val="center"/>
      </w:pPr>
      <w:r>
        <w:rPr>
          <w:i/>
          <w:iCs/>
          <w:color w:val="5A6272"/>
          <w:sz w:val="18"/>
          <w:szCs w:val="18"/>
        </w:rPr>
        <w:t xml:space="preserve">Regulus prepares research and drafts. Your organization reviews, corrects, signs, and submits its own applications. Nothing in this packet is legal, tax, or accounting advice, and no statement in it is a prediction or promise of any award.</w:t>
      </w:r>
    </w:p>
    <w:p>
      <w:r>
        <w:br w:type="page"/>
      </w:r>
    </w:p>
    <w:p>
      <w:pPr>
        <w:pStyle w:val="Heading1"/>
        <w:spacing w:after="140" w:before="320"/>
      </w:pPr>
      <w:r>
        <w:rPr>
          <w:color w:val="17233B"/>
        </w:rPr>
        <w:t xml:space="preserve">1. Fundability Read</w:t>
      </w:r>
    </w:p>
    <w:p>
      <w:pPr>
        <w:spacing w:after="140"/>
      </w:pPr>
      <w:r>
        <w:rPr>
          <w:i/>
          <w:iCs/>
          <w:color w:val="5A6272"/>
          <w:sz w:val="20"/>
          <w:szCs w:val="20"/>
        </w:rPr>
        <w:t xml:space="preserve">Free assessment. Sources: your business plan (provided Aug 20, 2026) and the verified opportunity research.</w:t>
      </w:r>
    </w:p>
    <w:p>
      <w:pPr>
        <w:pStyle w:val="Heading2"/>
        <w:spacing w:after="100" w:before="240"/>
      </w:pPr>
      <w:r>
        <w:rPr>
          <w:color w:val="17233B"/>
        </w:rPr>
        <w:t xml:space="preserve">The short version</w:t>
      </w:r>
    </w:p>
    <w:p>
      <w:pPr>
        <w:spacing w:after="120"/>
      </w:pPr>
      <w:r>
        <w:rPr>
          <w:color w:val="000000"/>
        </w:rPr>
        <w:t xml:space="preserve">This organization is more fundable than most startups we read — but not yet through the front door most people picture. The mission (critical dry-in home repair for elderly and low-income homeowners in an ARC-distressed county) sits squarely inside what a real set of funders pays for. The constraint is structural, not substantive: operating as a 508(c)(1)(A) without an IRS determination letter closes roughly a third of the researched market — specifically the private-foundation and corporate cash-grant third. The strategy that fits the next 12 months is partnerships and homeowner-direct dollars first, small direct grants second, and the foundation tier through a fiscal sponsor until the planned 501(c)(3) CDC exists.</w:t>
      </w:r>
    </w:p>
    <w:p>
      <w:pPr>
        <w:pStyle w:val="Heading2"/>
        <w:spacing w:after="100" w:before="240"/>
      </w:pPr>
      <w:r>
        <w:rPr>
          <w:color w:val="17233B"/>
        </w:rPr>
        <w:t xml:space="preserve">What works in your favor</w:t>
      </w:r>
    </w:p>
    <w:p>
      <w:pPr>
        <w:pStyle w:val="ListParagraph"/>
        <w:numPr>
          <w:ilvl w:val="0"/>
          <w:numId w:val="2"/>
        </w:numPr>
        <w:spacing w:after="60"/>
      </w:pPr>
      <w:r>
        <w:t xml:space="preserve">Geography multiplies eligibility: Morgan County is ARC-distressed and USDA-rural, designations several programs cite directly.</w:t>
      </w:r>
    </w:p>
    <w:p>
      <w:pPr>
        <w:pStyle w:val="ListParagraph"/>
        <w:numPr>
          <w:ilvl w:val="0"/>
          <w:numId w:val="2"/>
        </w:numPr>
        <w:spacing w:after="60"/>
      </w:pPr>
      <w:r>
        <w:t xml:space="preserve">The niche is a real gap: weatherization crews must defer homes with roof leaks or structural failure — your exact scope — making you the missing piece for an existing federal program partner headquartered in your own town.</w:t>
      </w:r>
    </w:p>
    <w:p>
      <w:pPr>
        <w:pStyle w:val="ListParagraph"/>
        <w:numPr>
          <w:ilvl w:val="0"/>
          <w:numId w:val="2"/>
        </w:numPr>
        <w:spacing w:after="60"/>
      </w:pPr>
      <w:r>
        <w:t xml:space="preserve">The model matches funder language: sweat equity, mutual aid, beneficiary participation, and trades mentorship map onto specific program criteria.</w:t>
      </w:r>
    </w:p>
    <w:p>
      <w:pPr>
        <w:pStyle w:val="ListParagraph"/>
        <w:numPr>
          <w:ilvl w:val="0"/>
          <w:numId w:val="2"/>
        </w:numPr>
        <w:spacing w:after="60"/>
      </w:pPr>
      <w:r>
        <w:t xml:space="preserve">The materials pipeline converts small grants into whole finished repairs — a $250 micro-grant genuinely equals one ramp.</w:t>
      </w:r>
    </w:p>
    <w:p>
      <w:pPr>
        <w:pStyle w:val="Heading2"/>
        <w:spacing w:after="100" w:before="240"/>
      </w:pPr>
      <w:r>
        <w:rPr>
          <w:color w:val="17233B"/>
        </w:rPr>
        <w:t xml:space="preserve">What works against you — said plainly</w:t>
      </w:r>
    </w:p>
    <w:p>
      <w:pPr>
        <w:pStyle w:val="ListParagraph"/>
        <w:numPr>
          <w:ilvl w:val="0"/>
          <w:numId w:val="2"/>
        </w:numPr>
        <w:spacing w:after="60"/>
      </w:pPr>
      <w:r>
        <w:t xml:space="preserve">No determination letter: most private foundations, several corporate portals, and the strongest national affiliations require one.</w:t>
      </w:r>
    </w:p>
    <w:p>
      <w:pPr>
        <w:pStyle w:val="ListParagraph"/>
        <w:numPr>
          <w:ilvl w:val="0"/>
          <w:numId w:val="2"/>
        </w:numPr>
        <w:spacing w:after="60"/>
      </w:pPr>
      <w:r>
        <w:t xml:space="preserve">No track record, staff, or financial systems yet; first applications need extra lead time for organizational documents.</w:t>
      </w:r>
    </w:p>
    <w:p>
      <w:pPr>
        <w:pStyle w:val="ListParagraph"/>
        <w:numPr>
          <w:ilvl w:val="0"/>
          <w:numId w:val="2"/>
        </w:numPr>
        <w:spacing w:after="60"/>
      </w:pPr>
      <w:r>
        <w:t xml:space="preserve">No SAM.gov/UEI registration — start it now; it takes weeks and gates every federal org-facing program.</w:t>
      </w:r>
    </w:p>
    <w:p>
      <w:pPr>
        <w:pStyle w:val="ListParagraph"/>
        <w:numPr>
          <w:ilvl w:val="0"/>
          <w:numId w:val="2"/>
        </w:numPr>
        <w:spacing w:after="60"/>
      </w:pPr>
      <w:r>
        <w:t xml:space="preserve">Documentation of need is anecdotal so far. Start a photographed, consented case file per homeowner immediately — one program's three-year service-history clock only starts when the log does.</w:t>
      </w:r>
    </w:p>
    <w:p>
      <w:pPr>
        <w:pStyle w:val="Heading2"/>
        <w:spacing w:after="100" w:before="240"/>
      </w:pPr>
      <w:r>
        <w:rPr>
          <w:color w:val="17233B"/>
        </w:rPr>
        <w:t xml:space="preserve">Recommendation</w:t>
      </w:r>
    </w:p>
    <w:p>
      <w:pPr>
        <w:spacing w:after="120"/>
      </w:pPr>
      <w:r>
        <w:rPr>
          <w:color w:val="000000"/>
        </w:rPr>
        <w:t xml:space="preserve">Take the partnership-and-shepherding path now (Gateway Community Action, USDA 504 homeowner files, Frontier Housing), file the small direct applications genuinely open to you (Walmart Spark Good, Thrivent, PC(USA) SDOP), resolve the fiscal-sponsor question within six weeks, and file the CDC's Form 1023-EZ early so the multi-year eligibility clocks start running.</w:t>
      </w:r>
    </w:p>
    <w:p>
      <w:r>
        <w:br w:type="page"/>
      </w:r>
    </w:p>
    <w:p>
      <w:pPr>
        <w:pStyle w:val="Heading1"/>
        <w:spacing w:after="140" w:before="320"/>
      </w:pPr>
      <w:r>
        <w:rPr>
          <w:color w:val="17233B"/>
        </w:rPr>
        <w:t xml:space="preserve">2. Opportunity Summary</w:t>
      </w:r>
    </w:p>
    <w:p>
      <w:pPr>
        <w:spacing w:after="140"/>
      </w:pPr>
      <w:r>
        <w:rPr>
          <w:i/>
          <w:iCs/>
          <w:color w:val="5A6272"/>
          <w:sz w:val="20"/>
          <w:szCs w:val="20"/>
        </w:rPr>
        <w:t xml:space="preserve">Condensed from the full verified opportunity sheet (57 programs researched, 38 screened, top 8 re-verified against funders' own pages). Deadlines verified Aug 20, 2026 — re-verify before any submission.</w:t>
      </w:r>
    </w:p>
    <w:p>
      <w:pPr>
        <w:pStyle w:val="Heading2"/>
        <w:spacing w:after="100" w:before="240"/>
      </w:pPr>
      <w:r>
        <w:rPr>
          <w:color w:val="17233B"/>
        </w:rPr>
        <w:t xml:space="preserve">Decide now (deadlines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EBE0" w:val="clear"/>
          </w:tcPr>
          <w:p>
            <w:r>
              <w:rPr>
                <w:b/>
                <w:bCs/>
                <w:color w:val="17233B"/>
              </w:rPr>
              <w:t xml:space="preserve">Opportunity</w:t>
            </w:r>
          </w:p>
        </w:tc>
        <w:tc>
          <w:tcPr>
            <w:tcW w:type="dxa" w:w="6160"/>
            <w:shd w:fill="F0EBE0" w:val="clear"/>
          </w:tcPr>
          <w:p>
            <w:r>
              <w:rPr>
                <w:b/>
                <w:bCs/>
                <w:color w:val="17233B"/>
              </w:rPr>
              <w:t xml:space="preserve">The call to make</w:t>
            </w:r>
          </w:p>
        </w:tc>
      </w:tr>
      <w:tr>
        <w:tc>
          <w:tcPr>
            <w:tcW w:type="dxa" w:w="3200"/>
          </w:tcPr>
          <w:p>
            <w:r>
              <w:rPr>
                <w:sz w:val="20"/>
                <w:szCs w:val="20"/>
              </w:rPr>
              <w:t xml:space="preserve">USDA Housing Preservation Grants (Sec. 533)</w:t>
            </w:r>
          </w:p>
        </w:tc>
        <w:tc>
          <w:tcPr>
            <w:tcW w:type="dxa" w:w="6160"/>
          </w:tcPr>
          <w:p>
            <w:r>
              <w:rPr>
                <w:sz w:val="20"/>
                <w:szCs w:val="20"/>
              </w:rPr>
              <w:t xml:space="preserve">Partner ask to Frontier/Gateway before Sep 8, 2026; FY2027 direct path in parallel</w:t>
            </w:r>
          </w:p>
        </w:tc>
      </w:tr>
      <w:tr>
        <w:tc>
          <w:tcPr>
            <w:tcW w:type="dxa" w:w="3200"/>
          </w:tcPr>
          <w:p>
            <w:r>
              <w:rPr>
                <w:sz w:val="20"/>
                <w:szCs w:val="20"/>
              </w:rPr>
              <w:t xml:space="preserve">ARC Area Development via Fiscal Court / Gateway ADD</w:t>
            </w:r>
          </w:p>
        </w:tc>
        <w:tc>
          <w:tcPr>
            <w:tcW w:type="dxa" w:w="6160"/>
          </w:tcPr>
          <w:p>
            <w:r>
              <w:rPr>
                <w:sz w:val="20"/>
                <w:szCs w:val="20"/>
              </w:rPr>
              <w:t xml:space="preserve">County-partner concept call before Sep 30, 2026 (80% federal share, distressed county)</w:t>
            </w:r>
          </w:p>
        </w:tc>
      </w:tr>
      <w:tr>
        <w:tc>
          <w:tcPr>
            <w:tcW w:type="dxa" w:w="3200"/>
          </w:tcPr>
          <w:p>
            <w:r>
              <w:rPr>
                <w:sz w:val="20"/>
                <w:szCs w:val="20"/>
              </w:rPr>
              <w:t xml:space="preserve">Walmart Spark Good Local Grants</w:t>
            </w:r>
          </w:p>
        </w:tc>
        <w:tc>
          <w:tcPr>
            <w:tcW w:type="dxa" w:w="6160"/>
          </w:tcPr>
          <w:p>
            <w:r>
              <w:rPr>
                <w:sz w:val="20"/>
                <w:szCs w:val="20"/>
              </w:rPr>
              <w:t xml:space="preserve">$250–$5,000; open through Nov 30, 2026; faith-based track; draft in Section 4</w:t>
            </w:r>
          </w:p>
        </w:tc>
      </w:tr>
      <w:tr>
        <w:tc>
          <w:tcPr>
            <w:tcW w:type="dxa" w:w="3200"/>
          </w:tcPr>
          <w:p>
            <w:r>
              <w:rPr>
                <w:sz w:val="20"/>
                <w:szCs w:val="20"/>
              </w:rPr>
              <w:t xml:space="preserve">Berea College Appalachian Fund</w:t>
            </w:r>
          </w:p>
        </w:tc>
        <w:tc>
          <w:tcPr>
            <w:tcW w:type="dxa" w:w="6160"/>
          </w:tcPr>
          <w:p>
            <w:r>
              <w:rPr>
                <w:sz w:val="20"/>
                <w:szCs w:val="20"/>
              </w:rPr>
              <w:t xml:space="preserve">Inquiry due Oct 10, 2026 — requires a fiscal sponsor signed in ~6 weeks</w:t>
            </w:r>
          </w:p>
        </w:tc>
      </w:tr>
    </w:tbl>
    <w:p>
      <w:pPr>
        <w:pStyle w:val="Heading2"/>
        <w:spacing w:after="100" w:before="240"/>
      </w:pPr>
      <w:r>
        <w:rPr>
          <w:color w:val="17233B"/>
        </w:rPr>
        <w:t xml:space="preserve">Act in 90 days (open or rolling, eligible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EBE0" w:val="clear"/>
          </w:tcPr>
          <w:p>
            <w:r>
              <w:rPr>
                <w:b/>
                <w:bCs/>
                <w:color w:val="17233B"/>
              </w:rPr>
              <w:t xml:space="preserve">Opportunity</w:t>
            </w:r>
          </w:p>
        </w:tc>
        <w:tc>
          <w:tcPr>
            <w:tcW w:type="dxa" w:w="6160"/>
            <w:shd w:fill="F0EBE0" w:val="clear"/>
          </w:tcPr>
          <w:p>
            <w:r>
              <w:rPr>
                <w:b/>
                <w:bCs/>
                <w:color w:val="17233B"/>
              </w:rPr>
              <w:t xml:space="preserve">Why it is on the list</w:t>
            </w:r>
          </w:p>
        </w:tc>
      </w:tr>
      <w:tr>
        <w:tc>
          <w:tcPr>
            <w:tcW w:type="dxa" w:w="3200"/>
          </w:tcPr>
          <w:p>
            <w:r>
              <w:rPr>
                <w:sz w:val="20"/>
                <w:szCs w:val="20"/>
              </w:rPr>
              <w:t xml:space="preserve">Gateway CAA — WAP deferral partnership</w:t>
            </w:r>
          </w:p>
        </w:tc>
        <w:tc>
          <w:tcPr>
            <w:tcW w:type="dxa" w:w="6160"/>
          </w:tcPr>
          <w:p>
            <w:r>
              <w:rPr>
                <w:sz w:val="20"/>
                <w:szCs w:val="20"/>
              </w:rPr>
              <w:t xml:space="preserve">Federal weatherization dollars stacked on your labor; LIHEAP closes Sep 11</w:t>
            </w:r>
          </w:p>
        </w:tc>
      </w:tr>
      <w:tr>
        <w:tc>
          <w:tcPr>
            <w:tcW w:type="dxa" w:w="3200"/>
          </w:tcPr>
          <w:p>
            <w:r>
              <w:rPr>
                <w:sz w:val="20"/>
                <w:szCs w:val="20"/>
              </w:rPr>
              <w:t xml:space="preserve">USDA Section 504 (homeowner shepherding)</w:t>
            </w:r>
          </w:p>
        </w:tc>
        <w:tc>
          <w:tcPr>
            <w:tcW w:type="dxa" w:w="6160"/>
          </w:tcPr>
          <w:p>
            <w:r>
              <w:rPr>
                <w:sz w:val="20"/>
                <w:szCs w:val="20"/>
              </w:rPr>
              <w:t xml:space="preserve">$10k grants 62+ / $50k combined per home; rolling; your status irrelevant</w:t>
            </w:r>
          </w:p>
        </w:tc>
      </w:tr>
      <w:tr>
        <w:tc>
          <w:tcPr>
            <w:tcW w:type="dxa" w:w="3200"/>
          </w:tcPr>
          <w:p>
            <w:r>
              <w:rPr>
                <w:sz w:val="20"/>
                <w:szCs w:val="20"/>
              </w:rPr>
              <w:t xml:space="preserve">Frontier Housing</w:t>
            </w:r>
          </w:p>
        </w:tc>
        <w:tc>
          <w:tcPr>
            <w:tcW w:type="dxa" w:w="6160"/>
          </w:tcPr>
          <w:p>
            <w:r>
              <w:rPr>
                <w:sz w:val="20"/>
                <w:szCs w:val="20"/>
              </w:rPr>
              <w:t xml:space="preserve">Referral MOU, subcontracting, candidate fiscal sponsor</w:t>
            </w:r>
          </w:p>
        </w:tc>
      </w:tr>
      <w:tr>
        <w:tc>
          <w:tcPr>
            <w:tcW w:type="dxa" w:w="3200"/>
          </w:tcPr>
          <w:p>
            <w:r>
              <w:rPr>
                <w:sz w:val="20"/>
                <w:szCs w:val="20"/>
              </w:rPr>
              <w:t xml:space="preserve">Thrivent Action Teams</w:t>
            </w:r>
          </w:p>
        </w:tc>
        <w:tc>
          <w:tcPr>
            <w:tcW w:type="dxa" w:w="6160"/>
          </w:tcPr>
          <w:p>
            <w:r>
              <w:rPr>
                <w:sz w:val="20"/>
                <w:szCs w:val="20"/>
              </w:rPr>
              <w:t xml:space="preserve">$250 seed per team, rolling; no nonprofit status required</w:t>
            </w:r>
          </w:p>
        </w:tc>
      </w:tr>
      <w:tr>
        <w:tc>
          <w:tcPr>
            <w:tcW w:type="dxa" w:w="3200"/>
          </w:tcPr>
          <w:p>
            <w:r>
              <w:rPr>
                <w:sz w:val="20"/>
                <w:szCs w:val="20"/>
              </w:rPr>
              <w:t xml:space="preserve">Mountain Association</w:t>
            </w:r>
          </w:p>
        </w:tc>
        <w:tc>
          <w:tcPr>
            <w:tcW w:type="dxa" w:w="6160"/>
          </w:tcPr>
          <w:p>
            <w:r>
              <w:rPr>
                <w:sz w:val="20"/>
                <w:szCs w:val="20"/>
              </w:rPr>
              <w:t xml:space="preserve">Consulting paid up to 100% — fixes the no-systems weakness</w:t>
            </w:r>
          </w:p>
        </w:tc>
      </w:tr>
      <w:tr>
        <w:tc>
          <w:tcPr>
            <w:tcW w:type="dxa" w:w="3200"/>
          </w:tcPr>
          <w:p>
            <w:r>
              <w:rPr>
                <w:sz w:val="20"/>
                <w:szCs w:val="20"/>
              </w:rPr>
              <w:t xml:space="preserve">CAP Operation Sharing</w:t>
            </w:r>
          </w:p>
        </w:tc>
        <w:tc>
          <w:tcPr>
            <w:tcW w:type="dxa" w:w="6160"/>
          </w:tcPr>
          <w:p>
            <w:r>
              <w:rPr>
                <w:sz w:val="20"/>
                <w:szCs w:val="20"/>
              </w:rPr>
              <w:t xml:space="preserve">Donated building materials (materials only — their repair program does not serve Morgan County)</w:t>
            </w:r>
          </w:p>
        </w:tc>
      </w:tr>
      <w:tr>
        <w:tc>
          <w:tcPr>
            <w:tcW w:type="dxa" w:w="3200"/>
          </w:tcPr>
          <w:p>
            <w:r>
              <w:rPr>
                <w:sz w:val="20"/>
                <w:szCs w:val="20"/>
              </w:rPr>
              <w:t xml:space="preserve">PC(USA) SDOP</w:t>
            </w:r>
          </w:p>
        </w:tc>
        <w:tc>
          <w:tcPr>
            <w:tcW w:type="dxa" w:w="6160"/>
          </w:tcPr>
          <w:p>
            <w:r>
              <w:rPr>
                <w:sz w:val="20"/>
                <w:szCs w:val="20"/>
              </w:rPr>
              <w:t xml:space="preserve">Up to $15,000; gated on beneficiary governance, not tax status</w:t>
            </w:r>
          </w:p>
        </w:tc>
      </w:tr>
      <w:tr>
        <w:tc>
          <w:tcPr>
            <w:tcW w:type="dxa" w:w="3200"/>
          </w:tcPr>
          <w:p>
            <w:r>
              <w:rPr>
                <w:sz w:val="20"/>
                <w:szCs w:val="20"/>
              </w:rPr>
              <w:t xml:space="preserve">VA HISA / Gateway AAA / LIHEAP screens</w:t>
            </w:r>
          </w:p>
        </w:tc>
        <w:tc>
          <w:tcPr>
            <w:tcW w:type="dxa" w:w="6160"/>
          </w:tcPr>
          <w:p>
            <w:r>
              <w:rPr>
                <w:sz w:val="20"/>
                <w:szCs w:val="20"/>
              </w:rPr>
              <w:t xml:space="preserve">Homeowner-direct dollars added to intake screening</w:t>
            </w:r>
          </w:p>
        </w:tc>
      </w:tr>
    </w:tbl>
    <w:p>
      <w:pPr>
        <w:pStyle w:val="Heading2"/>
        <w:spacing w:after="100" w:before="240"/>
      </w:pPr>
      <w:r>
        <w:rPr>
          <w:color w:val="17233B"/>
        </w:rPr>
        <w:t xml:space="preserve">Prep for next windows</w:t>
      </w:r>
    </w:p>
    <w:p>
      <w:pPr>
        <w:spacing w:after="120"/>
      </w:pPr>
      <w:r>
        <w:rPr>
          <w:color w:val="000000"/>
        </w:rPr>
        <w:t xml:space="preserve">FHLB Cincinnati Carol M. Peterson Fund (~Feb 2027 — funds go in hours; pre-package files), Foundation for Appalachian KY Civic Experiment (~Jan–Feb 2027; open to non-501(c)(3) groups), ARC Flex-E mini grants (winter 2027), AARP HomeFit ($2,500, ~late Jan 2027), Steele-Reese via sponsor (Mar 2027), KY UMC Eastern Kentucky Ministries (year-round).</w:t>
      </w:r>
    </w:p>
    <w:p>
      <w:pPr>
        <w:pStyle w:val="Heading2"/>
        <w:spacing w:after="100" w:before="240"/>
      </w:pPr>
      <w:r>
        <w:rPr>
          <w:color w:val="17233B"/>
        </w:rPr>
        <w:t xml:space="preserve">Parked pending the 501(c)(3) CDC</w:t>
      </w:r>
    </w:p>
    <w:p>
      <w:pPr>
        <w:spacing w:after="120"/>
      </w:pPr>
      <w:r>
        <w:rPr>
          <w:color w:val="000000"/>
        </w:rPr>
        <w:t xml:space="preserve">HUD Older Adults Home Modification (start the senior-service log now — the 3-year clock), Rebuilding Together affiliation.</w:t>
      </w:r>
    </w:p>
    <w:p>
      <w:r>
        <w:br w:type="page"/>
      </w:r>
    </w:p>
    <w:p>
      <w:pPr>
        <w:pStyle w:val="Heading1"/>
        <w:spacing w:after="140" w:before="320"/>
      </w:pPr>
      <w:r>
        <w:rPr>
          <w:color w:val="17233B"/>
        </w:rPr>
        <w:t xml:space="preserve">3. Application Draft — Walmart Spark Good Local Grant</w:t>
      </w:r>
    </w:p>
    <w:p>
      <w:pPr>
        <w:spacing w:after="140"/>
      </w:pPr>
      <w:r>
        <w:rPr>
          <w:i/>
          <w:iCs/>
          <w:color w:val="5A6272"/>
          <w:sz w:val="20"/>
          <w:szCs w:val="20"/>
        </w:rPr>
        <w:t xml:space="preserve">Ask: $5,000 (unrestricted) · Focus area: Strengthening Community · Cycle closes Nov 30, 2026 · Status: DRAFT pending human grant-writer sign-off and your attestation. Bracketed [CLIENT …] items must be resolved before submission — there are six.</w:t>
      </w:r>
    </w:p>
    <w:p>
      <w:pPr>
        <w:pStyle w:val="Heading2"/>
        <w:spacing w:after="100" w:before="240"/>
      </w:pPr>
      <w:r>
        <w:rPr>
          <w:color w:val="17233B"/>
        </w:rPr>
        <w:t xml:space="preserve">Step 1 — Verification file (the real gate)</w:t>
      </w:r>
    </w:p>
    <w:p>
      <w:pPr>
        <w:pStyle w:val="ListParagraph"/>
        <w:numPr>
          <w:ilvl w:val="0"/>
          <w:numId w:val="2"/>
        </w:numPr>
        <w:spacing w:after="60"/>
      </w:pPr>
      <w:r>
        <w:t xml:space="preserve">IRS EIN assignment letter (CP 575, or request a 147C replacement by phone) — [CLIENT TO PROVIDE]</w:t>
      </w:r>
    </w:p>
    <w:p>
      <w:pPr>
        <w:pStyle w:val="ListParagraph"/>
        <w:numPr>
          <w:ilvl w:val="0"/>
          <w:numId w:val="2"/>
        </w:numPr>
        <w:spacing w:after="60"/>
      </w:pPr>
      <w:r>
        <w:t xml:space="preserve">Organizing documents (articles / constitution / bylaws or church charter) — [CLIENT TO PROVIDE]</w:t>
      </w:r>
    </w:p>
    <w:p>
      <w:pPr>
        <w:pStyle w:val="ListParagraph"/>
        <w:numPr>
          <w:ilvl w:val="0"/>
          <w:numId w:val="2"/>
        </w:numPr>
        <w:spacing w:after="60"/>
      </w:pPr>
      <w:r>
        <w:t xml:space="preserve">Financials in lieu of Form 990: current budget + signed statement of receipts to date</w:t>
      </w:r>
    </w:p>
    <w:p>
      <w:pPr>
        <w:pStyle w:val="ListParagraph"/>
        <w:numPr>
          <w:ilvl w:val="0"/>
          <w:numId w:val="2"/>
        </w:numPr>
        <w:spacing w:after="60"/>
      </w:pPr>
      <w:r>
        <w:t xml:space="preserve">Bank documentation in the organization's legal name — payment is electronic-only; banking must be completed within 21 days of an approval email or the award is withdrawn — [CLIENT TO PROVIDE]</w:t>
      </w:r>
    </w:p>
    <w:p>
      <w:pPr>
        <w:pStyle w:val="ListParagraph"/>
        <w:numPr>
          <w:ilvl w:val="0"/>
          <w:numId w:val="2"/>
        </w:numPr>
        <w:spacing w:after="60"/>
      </w:pPr>
      <w:r>
        <w:t xml:space="preserve">If Deed verification stalls on the IRS Business Master File check (common for churches that never filed for recognition): contact Deed support; fallback is applying through a Deed-verified partner church.</w:t>
      </w:r>
    </w:p>
    <w:p>
      <w:pPr>
        <w:pStyle w:val="ListParagraph"/>
        <w:numPr>
          <w:ilvl w:val="0"/>
          <w:numId w:val="2"/>
        </w:numPr>
        <w:spacing w:after="60"/>
      </w:pPr>
      <w:r>
        <w:t xml:space="preserve">The Walmart.com Spark Good account email must match the Deed account email; only the verified primary owner can apply.</w:t>
      </w:r>
    </w:p>
    <w:p>
      <w:pPr>
        <w:pStyle w:val="Heading2"/>
        <w:spacing w:after="100" w:before="240"/>
      </w:pPr>
      <w:r>
        <w:rPr>
          <w:color w:val="17233B"/>
        </w:rPr>
        <w:t xml:space="preserve">Step 2 — Facility</w:t>
      </w:r>
    </w:p>
    <w:p>
      <w:pPr>
        <w:spacing w:after="120"/>
      </w:pPr>
      <w:r>
        <w:rPr>
          <w:color w:val="000000"/>
        </w:rPr>
        <w:t xml:space="preserve">Grants are store-level and must serve that store's community. [CLIENT TO CONFIRM which Walmart facility Morgan County families actually shop at — likely Morehead or Mount Sterling.] One application per facility per cycle.</w:t>
      </w:r>
    </w:p>
    <w:p>
      <w:pPr>
        <w:pStyle w:val="Heading2"/>
        <w:spacing w:after="100" w:before="240"/>
      </w:pPr>
      <w:r>
        <w:rPr>
          <w:color w:val="17233B"/>
        </w:rPr>
        <w:t xml:space="preserve">Step 3 — Draft narratives</w:t>
      </w:r>
    </w:p>
    <w:p>
      <w:pPr>
        <w:spacing w:after="120"/>
      </w:pPr>
      <w:r>
        <w:rPr>
          <w:b/>
          <w:bCs/>
          <w:color w:val="000000"/>
        </w:rPr>
        <w:t xml:space="preserve">Project description (498 characters):</w:t>
      </w:r>
    </w:p>
    <w:p>
      <w:pPr>
        <w:pBdr>
          <w:left w:val="single" w:color="9C7420" w:sz="12"/>
        </w:pBdr>
        <w:spacing w:after="140"/>
        <w:ind w:left="360" w:right="360"/>
      </w:pPr>
      <w:r>
        <w:rPr>
          <w:color w:val="17233B"/>
        </w:rPr>
        <w:t xml:space="preserve">Home Is the Foundation Restoration makes critical home repairs — roof leaks, failing floors, wheelchair ramps, and winterization — for elderly and low-income homeowners in Morgan County, at no cost to the families. Volunteer crews and donated or reclaimed materials do the work; homeowners join in as they're able. This grant buys the repair materials we cannot salvage: roofing fasteners, sealants, treated lumber, and insulation for homes served from the [STORE] service area this winter.</w:t>
      </w:r>
    </w:p>
    <w:p>
      <w:pPr>
        <w:spacing w:after="120"/>
      </w:pPr>
      <w:r>
        <w:rPr>
          <w:b/>
          <w:bCs/>
          <w:color w:val="000000"/>
        </w:rPr>
        <w:t xml:space="preserve">Local connection (341 characters):</w:t>
      </w:r>
    </w:p>
    <w:p>
      <w:pPr>
        <w:pBdr>
          <w:left w:val="single" w:color="9C7420" w:sz="12"/>
        </w:pBdr>
        <w:spacing w:after="140"/>
        <w:ind w:left="360" w:right="360"/>
      </w:pPr>
      <w:r>
        <w:rPr>
          <w:color w:val="17233B"/>
        </w:rPr>
        <w:t xml:space="preserve">We are based in West Liberty and serve Morgan County families — the same rural households that shop at [STORE]. Our repairs keep elderly neighbors safely in their own homes: stopping active leaks, fixing floors before someone falls, and building ramps. Every dollar is multiplied by donated materials and volunteer labor from local churches.</w:t>
      </w:r>
    </w:p>
    <w:p>
      <w:pPr>
        <w:spacing w:after="120"/>
      </w:pPr>
      <w:r>
        <w:rPr>
          <w:b/>
          <w:bCs/>
          <w:color w:val="000000"/>
        </w:rPr>
        <w:t xml:space="preserve">Expanded version (for longer fields):</w:t>
      </w:r>
    </w:p>
    <w:p>
      <w:pPr>
        <w:pBdr>
          <w:left w:val="single" w:color="9C7420" w:sz="12"/>
        </w:pBdr>
        <w:spacing w:after="140"/>
        <w:ind w:left="360" w:right="360"/>
      </w:pPr>
      <w:r>
        <w:rPr>
          <w:color w:val="17233B"/>
        </w:rPr>
        <w:t xml:space="preserve">Many Morgan County families live in aging homes with active roof leaks, deteriorating floors, and no affordable local repair options. Left alone, these conditions push elderly residents on fixed incomes out of homes they own outright. Home Is the Foundation Restoration exists for exactly these cases. We focus on “dry-in” repairs that keep a home livable — stopping leaks, stabilizing floors and structure, building accessibility ramps, and winterizing to cut utility burdens — provided at no cost to the homeowner. Our model stretches every dollar: materials are reclaimed through barn deconstruction and donated surplus, labor comes from volunteer crews and the homeowners themselves, and local youth learn trade skills alongside experienced volunteers on every project. A Spark Good grant funds the materials that cannot be salvaged — fasteners, sealants, flashing, treated lumber, insulation — turning $5,000 into completed repairs for multiple households in the [STORE] service area. The community at large benefits: projects serve any qualifying Morgan County household, and our volunteer teams draw from churches and neighbors across the county.</w:t>
      </w:r>
    </w:p>
    <w:p>
      <w:pPr>
        <w:spacing w:after="120"/>
      </w:pPr>
      <w:r>
        <w:rPr>
          <w:color w:val="000000"/>
        </w:rPr>
        <w:t xml:space="preserve">Reviewer notes: the community-at-large framing is required by Walmart's faith-based track — keep “any qualifying Morgan County household.” Walmart excludes organizations that deny service based on protected characteristics; the client confirms open service in writing at attestation.</w:t>
      </w:r>
    </w:p>
    <w:p>
      <w:pPr>
        <w:pStyle w:val="Heading2"/>
        <w:spacing w:after="100" w:before="240"/>
      </w:pPr>
      <w:r>
        <w:rPr>
          <w:color w:val="17233B"/>
        </w:rPr>
        <w:t xml:space="preserve">Step 4 — Claim-by-claim source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shd w:fill="F0EBE0" w:val="clear"/>
          </w:tcPr>
          <w:p>
            <w:r>
              <w:rPr>
                <w:b/>
                <w:bCs/>
                <w:color w:val="17233B"/>
              </w:rPr>
              <w:t xml:space="preserve">Claim in draft</w:t>
            </w:r>
          </w:p>
        </w:tc>
        <w:tc>
          <w:tcPr>
            <w:tcW w:type="dxa" w:w="4360"/>
            <w:shd w:fill="F0EBE0" w:val="clear"/>
          </w:tcPr>
          <w:p>
            <w:r>
              <w:rPr>
                <w:b/>
                <w:bCs/>
                <w:color w:val="17233B"/>
              </w:rPr>
              <w:t xml:space="preserve">Source</w:t>
            </w:r>
          </w:p>
        </w:tc>
      </w:tr>
      <w:tr>
        <w:tc>
          <w:tcPr>
            <w:tcW w:type="dxa" w:w="5000"/>
          </w:tcPr>
          <w:p>
            <w:r>
              <w:rPr>
                <w:sz w:val="20"/>
                <w:szCs w:val="20"/>
              </w:rPr>
              <w:t xml:space="preserve">Repairs: roofs, floors, ramps, winterization; no cost to families</w:t>
            </w:r>
          </w:p>
        </w:tc>
        <w:tc>
          <w:tcPr>
            <w:tcW w:type="dxa" w:w="4360"/>
          </w:tcPr>
          <w:p>
            <w:r>
              <w:rPr>
                <w:sz w:val="20"/>
                <w:szCs w:val="20"/>
              </w:rPr>
              <w:t xml:space="preserve">Business plan §2, Physical Repair Scope</w:t>
            </w:r>
          </w:p>
        </w:tc>
      </w:tr>
      <w:tr>
        <w:tc>
          <w:tcPr>
            <w:tcW w:type="dxa" w:w="5000"/>
          </w:tcPr>
          <w:p>
            <w:r>
              <w:rPr>
                <w:sz w:val="20"/>
                <w:szCs w:val="20"/>
              </w:rPr>
              <w:t xml:space="preserve">Elderly and low-income homeowners; Morgan County / West Liberty</w:t>
            </w:r>
          </w:p>
        </w:tc>
        <w:tc>
          <w:tcPr>
            <w:tcW w:type="dxa" w:w="4360"/>
          </w:tcPr>
          <w:p>
            <w:r>
              <w:rPr>
                <w:sz w:val="20"/>
                <w:szCs w:val="20"/>
              </w:rPr>
              <w:t xml:space="preserve">Business plan §4, Market &amp; Community Analysis</w:t>
            </w:r>
          </w:p>
        </w:tc>
      </w:tr>
      <w:tr>
        <w:tc>
          <w:tcPr>
            <w:tcW w:type="dxa" w:w="5000"/>
          </w:tcPr>
          <w:p>
            <w:r>
              <w:rPr>
                <w:sz w:val="20"/>
                <w:szCs w:val="20"/>
              </w:rPr>
              <w:t xml:space="preserve">Volunteer crews + homeowner sweat equity</w:t>
            </w:r>
          </w:p>
        </w:tc>
        <w:tc>
          <w:tcPr>
            <w:tcW w:type="dxa" w:w="4360"/>
          </w:tcPr>
          <w:p>
            <w:r>
              <w:rPr>
                <w:sz w:val="20"/>
                <w:szCs w:val="20"/>
              </w:rPr>
              <w:t xml:space="preserve">Business plan §2, Mutual-Aid Network</w:t>
            </w:r>
          </w:p>
        </w:tc>
      </w:tr>
      <w:tr>
        <w:tc>
          <w:tcPr>
            <w:tcW w:type="dxa" w:w="5000"/>
          </w:tcPr>
          <w:p>
            <w:r>
              <w:rPr>
                <w:sz w:val="20"/>
                <w:szCs w:val="20"/>
              </w:rPr>
              <w:t xml:space="preserve">Reclaimed/donated materials; barn deconstruction; surplus rescue</w:t>
            </w:r>
          </w:p>
        </w:tc>
        <w:tc>
          <w:tcPr>
            <w:tcW w:type="dxa" w:w="4360"/>
          </w:tcPr>
          <w:p>
            <w:r>
              <w:rPr>
                <w:sz w:val="20"/>
                <w:szCs w:val="20"/>
              </w:rPr>
              <w:t xml:space="preserve">Business plan §3, Material Sourcing Pipeline</w:t>
            </w:r>
          </w:p>
        </w:tc>
      </w:tr>
      <w:tr>
        <w:tc>
          <w:tcPr>
            <w:tcW w:type="dxa" w:w="5000"/>
          </w:tcPr>
          <w:p>
            <w:r>
              <w:rPr>
                <w:sz w:val="20"/>
                <w:szCs w:val="20"/>
              </w:rPr>
              <w:t xml:space="preserve">Youth trades mentorship</w:t>
            </w:r>
          </w:p>
        </w:tc>
        <w:tc>
          <w:tcPr>
            <w:tcW w:type="dxa" w:w="4360"/>
          </w:tcPr>
          <w:p>
            <w:r>
              <w:rPr>
                <w:sz w:val="20"/>
                <w:szCs w:val="20"/>
              </w:rPr>
              <w:t xml:space="preserve">Business plan §2, Mentorship Model</w:t>
            </w:r>
          </w:p>
        </w:tc>
      </w:tr>
      <w:tr>
        <w:tc>
          <w:tcPr>
            <w:tcW w:type="dxa" w:w="5000"/>
          </w:tcPr>
          <w:p>
            <w:r>
              <w:rPr>
                <w:sz w:val="20"/>
                <w:szCs w:val="20"/>
              </w:rPr>
              <w:t xml:space="preserve">Grant buys non-salvageable materials (fasteners, sealants, lumber, insulation)</w:t>
            </w:r>
          </w:p>
        </w:tc>
        <w:tc>
          <w:tcPr>
            <w:tcW w:type="dxa" w:w="4360"/>
          </w:tcPr>
          <w:p>
            <w:r>
              <w:rPr>
                <w:sz w:val="20"/>
                <w:szCs w:val="20"/>
              </w:rPr>
              <w:t xml:space="preserve">Inference from §3 supply gaps — [CLIENT TO CONFIRM actual need]</w:t>
            </w:r>
          </w:p>
        </w:tc>
      </w:tr>
      <w:tr>
        <w:tc>
          <w:tcPr>
            <w:tcW w:type="dxa" w:w="5000"/>
          </w:tcPr>
          <w:p>
            <w:r>
              <w:rPr>
                <w:sz w:val="20"/>
                <w:szCs w:val="20"/>
              </w:rPr>
              <w:t xml:space="preserve">[STORE] service-area statements</w:t>
            </w:r>
          </w:p>
        </w:tc>
        <w:tc>
          <w:tcPr>
            <w:tcW w:type="dxa" w:w="4360"/>
          </w:tcPr>
          <w:p>
            <w:r>
              <w:rPr>
                <w:sz w:val="20"/>
                <w:szCs w:val="20"/>
              </w:rPr>
              <w:t xml:space="preserve">[CLIENT TO CONFIRM facility] — unresolved</w:t>
            </w:r>
          </w:p>
        </w:tc>
      </w:tr>
      <w:tr>
        <w:tc>
          <w:tcPr>
            <w:tcW w:type="dxa" w:w="5000"/>
          </w:tcPr>
          <w:p>
            <w:r>
              <w:rPr>
                <w:sz w:val="20"/>
                <w:szCs w:val="20"/>
              </w:rPr>
              <w:t xml:space="preserve">Services open to all qualifying households</w:t>
            </w:r>
          </w:p>
        </w:tc>
        <w:tc>
          <w:tcPr>
            <w:tcW w:type="dxa" w:w="4360"/>
          </w:tcPr>
          <w:p>
            <w:r>
              <w:rPr>
                <w:sz w:val="20"/>
                <w:szCs w:val="20"/>
              </w:rPr>
              <w:t xml:space="preserve">[CLIENT TO ATTEST] — unresolved</w:t>
            </w:r>
          </w:p>
        </w:tc>
      </w:tr>
      <w:tr>
        <w:tc>
          <w:tcPr>
            <w:tcW w:type="dxa" w:w="5000"/>
          </w:tcPr>
          <w:p>
            <w:r>
              <w:rPr>
                <w:sz w:val="20"/>
                <w:szCs w:val="20"/>
              </w:rPr>
              <w:t xml:space="preserve">Program facts: $250–$5,000, Aug 1–Nov 30 cycle, unrestricted, e-payment, 21-day banking window, faith-based track</w:t>
            </w:r>
          </w:p>
        </w:tc>
        <w:tc>
          <w:tcPr>
            <w:tcW w:type="dxa" w:w="4360"/>
          </w:tcPr>
          <w:p>
            <w:r>
              <w:rPr>
                <w:sz w:val="20"/>
                <w:szCs w:val="20"/>
              </w:rPr>
              <w:t xml:space="preserve">Verified research brief, Aug 20, 2026 (walmart.org guidelines + Deed docs); re-verify on the live form</w:t>
            </w:r>
          </w:p>
        </w:tc>
      </w:tr>
    </w:tbl>
    <w:p>
      <w:r>
        <w:br w:type="page"/>
      </w:r>
    </w:p>
    <w:p>
      <w:pPr>
        <w:pStyle w:val="Heading1"/>
        <w:spacing w:after="140" w:before="320"/>
      </w:pPr>
      <w:r>
        <w:rPr>
          <w:color w:val="17233B"/>
        </w:rPr>
        <w:t xml:space="preserve">4. Partner-Ask Letters (send before Sep 8, 2026)</w:t>
      </w:r>
    </w:p>
    <w:p>
      <w:pPr>
        <w:spacing w:after="140"/>
      </w:pPr>
      <w:r>
        <w:rPr>
          <w:i/>
          <w:iCs/>
          <w:color w:val="5A6272"/>
          <w:sz w:val="20"/>
          <w:szCs w:val="20"/>
        </w:rPr>
        <w:t xml:space="preserve">You review, personalize, sign, and send these yourself — Regulus does not contact partners or funders on your behalf. These are outreach letters, not applications.</w:t>
      </w:r>
    </w:p>
    <w:p>
      <w:pPr>
        <w:pStyle w:val="Heading2"/>
        <w:spacing w:after="100" w:before="240"/>
      </w:pPr>
      <w:r>
        <w:rPr>
          <w:color w:val="17233B"/>
        </w:rPr>
        <w:t xml:space="preserve">To Frontier Housing (Morehead) — 606-784-2131</w:t>
      </w:r>
    </w:p>
    <w:p>
      <w:pPr>
        <w:spacing w:after="120"/>
      </w:pPr>
      <w:r>
        <w:rPr>
          <w:color w:val="000000"/>
        </w:rPr>
        <w:t xml:space="preserve">Dear [NAME — after intro call],</w:t>
      </w:r>
    </w:p>
    <w:p>
      <w:pPr>
        <w:spacing w:after="120"/>
      </w:pPr>
      <w:r>
        <w:rPr>
          <w:color w:val="000000"/>
        </w:rPr>
        <w:t xml:space="preserve">I lead Home Is the Foundation Restoration, a faith-based home-repair effort in West Liberty. We do one narrow thing: critical dry-in repair — roof leaks, failing subfloors, ramps, and underpinning/winterization — for elderly and low-income homeowners in Morgan County, using reclaimed materials, volunteer crews, and homeowner sweat equity.</w:t>
      </w:r>
    </w:p>
    <w:p>
      <w:pPr>
        <w:spacing w:after="120"/>
      </w:pPr>
      <w:r>
        <w:rPr>
          <w:color w:val="000000"/>
        </w:rPr>
        <w:t xml:space="preserve">Two asks, one time-sensitive: (1) If Frontier is applying for FY2026 USDA Housing Preservation Grant funds — the window closes September 8 — we would like to be named as a construction and volunteer-labor partner for Morgan County homes. Our labor model and materials pipeline stretch grant dollars further per home, and we can document every hour and material contributed. (2) Longer term, we would welcome a referral relationship for Morgan County homes in our scope, and we would like to ask whether Frontier would consider serving as our fiscal sponsor while our separate 501(c)(3) entity is being formed — several regional funders we plan to approach accept sponsored applications.</w:t>
      </w:r>
    </w:p>
    <w:p>
      <w:pPr>
        <w:spacing w:after="120"/>
      </w:pPr>
      <w:r>
        <w:rPr>
          <w:color w:val="000000"/>
        </w:rPr>
        <w:t xml:space="preserve">I can bring a one-page capability statement and photographs of current cases to a call or a visit any day this week. [Signature block]</w:t>
      </w:r>
    </w:p>
    <w:p>
      <w:pPr>
        <w:pStyle w:val="Heading2"/>
        <w:spacing w:after="100" w:before="240"/>
      </w:pPr>
      <w:r>
        <w:rPr>
          <w:color w:val="17233B"/>
        </w:rPr>
        <w:t xml:space="preserve">To Gateway Community Action (West Liberty) — 606-743-3133</w:t>
      </w:r>
    </w:p>
    <w:p>
      <w:pPr>
        <w:spacing w:after="120"/>
      </w:pPr>
      <w:r>
        <w:rPr>
          <w:color w:val="000000"/>
        </w:rPr>
        <w:t xml:space="preserve">Dear [NAME — after intro call],</w:t>
      </w:r>
    </w:p>
    <w:p>
      <w:pPr>
        <w:spacing w:after="120"/>
      </w:pPr>
      <w:r>
        <w:rPr>
          <w:color w:val="000000"/>
        </w:rPr>
        <w:t xml:space="preserve">We are a West Liberty faith-based repair effort focused on exactly the problems that force weatherization deferrals: active roof leaks, structural floor failures, and homes that can't safely take insulation until the envelope is fixed.</w:t>
      </w:r>
    </w:p>
    <w:p>
      <w:pPr>
        <w:spacing w:after="120"/>
      </w:pPr>
      <w:r>
        <w:rPr>
          <w:color w:val="000000"/>
        </w:rPr>
        <w:t xml:space="preserve">The proposal: a referral pilot where homes on Gateway's WAP deferral list that fit our dry-in scope come to us; we complete the repair with volunteer labor and donated or reclaimed materials at no cost to the homeowner; the home returns to Gateway ready for weatherization. Gateway clears deferrals; families get whole-home outcomes; every case is documented.</w:t>
      </w:r>
    </w:p>
    <w:p>
      <w:pPr>
        <w:spacing w:after="120"/>
      </w:pPr>
      <w:r>
        <w:rPr>
          <w:color w:val="000000"/>
        </w:rPr>
        <w:t xml:space="preserve">The time-sensitive addition: if Gateway is applying for FY2026 USDA Housing Preservation Grant funds (closing September 8), we would ask to be named as a volunteer-labor and construction partner for Morgan County homes in that application.</w:t>
      </w:r>
    </w:p>
    <w:p>
      <w:pPr>
        <w:spacing w:after="120"/>
      </w:pPr>
      <w:r>
        <w:rPr>
          <w:color w:val="000000"/>
        </w:rPr>
        <w:t xml:space="preserve">Could we get 30 minutes this week? I'm in West Liberty and can come to your office — my first question is how many Morgan County homes are currently on the deferral list. [Signature block]</w:t>
      </w:r>
    </w:p>
    <w:p>
      <w:r>
        <w:br w:type="page"/>
      </w:r>
    </w:p>
    <w:p>
      <w:pPr>
        <w:pStyle w:val="Heading1"/>
        <w:spacing w:after="140" w:before="320"/>
      </w:pPr>
      <w:r>
        <w:rPr>
          <w:color w:val="17233B"/>
        </w:rPr>
        <w:t xml:space="preserve">5. Data Room Checklist</w:t>
      </w:r>
    </w:p>
    <w:p>
      <w:pPr>
        <w:spacing w:after="140"/>
      </w:pPr>
      <w:r>
        <w:rPr>
          <w:i/>
          <w:iCs/>
          <w:color w:val="5A6272"/>
          <w:sz w:val="20"/>
          <w:szCs w:val="20"/>
        </w:rPr>
        <w:t xml:space="preserve">Every factual claim in every application traces to one of these documents or a written, attested intake answer. Anything we cannot trace is removed from drafts, not smoothed over.</w:t>
      </w:r>
    </w:p>
    <w:p>
      <w:pPr>
        <w:pStyle w:val="Heading2"/>
        <w:spacing w:after="100" w:before="240"/>
      </w:pPr>
      <w:r>
        <w:rPr>
          <w:color w:val="17233B"/>
        </w:rPr>
        <w:t xml:space="preserve">Organizational identity</w:t>
      </w:r>
    </w:p>
    <w:p>
      <w:pPr>
        <w:pStyle w:val="ListParagraph"/>
        <w:numPr>
          <w:ilvl w:val="0"/>
          <w:numId w:val="2"/>
        </w:numPr>
        <w:spacing w:after="60"/>
      </w:pPr>
      <w:r>
        <w:t xml:space="preserve">Legal name as registered, and any DBA</w:t>
      </w:r>
    </w:p>
    <w:p>
      <w:pPr>
        <w:pStyle w:val="ListParagraph"/>
        <w:numPr>
          <w:ilvl w:val="0"/>
          <w:numId w:val="2"/>
        </w:numPr>
        <w:spacing w:after="60"/>
      </w:pPr>
      <w:r>
        <w:t xml:space="preserve">EIN and the IRS EIN assignment letter (CP 575)</w:t>
      </w:r>
    </w:p>
    <w:p>
      <w:pPr>
        <w:pStyle w:val="ListParagraph"/>
        <w:numPr>
          <w:ilvl w:val="0"/>
          <w:numId w:val="2"/>
        </w:numPr>
        <w:spacing w:after="60"/>
      </w:pPr>
      <w:r>
        <w:t xml:space="preserve">Kentucky organizing documents (articles, bylaws, or church charter)</w:t>
      </w:r>
    </w:p>
    <w:p>
      <w:pPr>
        <w:pStyle w:val="ListParagraph"/>
        <w:numPr>
          <w:ilvl w:val="0"/>
          <w:numId w:val="2"/>
        </w:numPr>
        <w:spacing w:after="60"/>
      </w:pPr>
      <w:r>
        <w:t xml:space="preserve">Physical and mailing address; primary contact</w:t>
      </w:r>
    </w:p>
    <w:p>
      <w:pPr>
        <w:pStyle w:val="ListParagraph"/>
        <w:numPr>
          <w:ilvl w:val="0"/>
          <w:numId w:val="2"/>
        </w:numPr>
        <w:spacing w:after="60"/>
      </w:pPr>
      <w:r>
        <w:t xml:space="preserve">Board/leadership list with roles — note whether homeowner-beneficiaries hold governance seats (gates the SDOP application)</w:t>
      </w:r>
    </w:p>
    <w:p>
      <w:pPr>
        <w:pStyle w:val="ListParagraph"/>
        <w:numPr>
          <w:ilvl w:val="0"/>
          <w:numId w:val="2"/>
        </w:numPr>
        <w:spacing w:after="60"/>
      </w:pPr>
      <w:r>
        <w:t xml:space="preserve">Bank account in the organization's name</w:t>
      </w:r>
    </w:p>
    <w:p>
      <w:pPr>
        <w:pStyle w:val="Heading2"/>
        <w:spacing w:after="100" w:before="240"/>
      </w:pPr>
      <w:r>
        <w:rPr>
          <w:color w:val="17233B"/>
        </w:rPr>
        <w:t xml:space="preserve">Financial</w:t>
      </w:r>
    </w:p>
    <w:p>
      <w:pPr>
        <w:pStyle w:val="ListParagraph"/>
        <w:numPr>
          <w:ilvl w:val="0"/>
          <w:numId w:val="2"/>
        </w:numPr>
        <w:spacing w:after="60"/>
      </w:pPr>
      <w:r>
        <w:t xml:space="preserve">Current-year operating budget (a one-page startup budget is fine)</w:t>
      </w:r>
    </w:p>
    <w:p>
      <w:pPr>
        <w:pStyle w:val="ListParagraph"/>
        <w:numPr>
          <w:ilvl w:val="0"/>
          <w:numId w:val="2"/>
        </w:numPr>
        <w:spacing w:after="60"/>
      </w:pPr>
      <w:r>
        <w:t xml:space="preserve">Financial statements if any exist — or a signed statement that none exist yet</w:t>
      </w:r>
    </w:p>
    <w:p>
      <w:pPr>
        <w:pStyle w:val="ListParagraph"/>
        <w:numPr>
          <w:ilvl w:val="0"/>
          <w:numId w:val="2"/>
        </w:numPr>
        <w:spacing w:after="60"/>
      </w:pPr>
      <w:r>
        <w:t xml:space="preserve">Donations and in-kind received to date, with estimated dollar-equivalent values</w:t>
      </w:r>
    </w:p>
    <w:p>
      <w:pPr>
        <w:pStyle w:val="Heading2"/>
        <w:spacing w:after="100" w:before="240"/>
      </w:pPr>
      <w:r>
        <w:rPr>
          <w:color w:val="17233B"/>
        </w:rPr>
        <w:t xml:space="preserve">Program documentation — start the case log immediately</w:t>
      </w:r>
    </w:p>
    <w:p>
      <w:pPr>
        <w:pStyle w:val="ListParagraph"/>
        <w:numPr>
          <w:ilvl w:val="0"/>
          <w:numId w:val="2"/>
        </w:numPr>
        <w:spacing w:after="60"/>
      </w:pPr>
      <w:r>
        <w:t xml:space="preserve">Per-homeowner case file: photos, repair scope, age band, income band, signed consent</w:t>
      </w:r>
    </w:p>
    <w:p>
      <w:pPr>
        <w:pStyle w:val="ListParagraph"/>
        <w:numPr>
          <w:ilvl w:val="0"/>
          <w:numId w:val="2"/>
        </w:numPr>
        <w:spacing w:after="60"/>
      </w:pPr>
      <w:r>
        <w:t xml:space="preserve">Volunteer roster and hours log (may count as match on some programs)</w:t>
      </w:r>
    </w:p>
    <w:p>
      <w:pPr>
        <w:pStyle w:val="ListParagraph"/>
        <w:numPr>
          <w:ilvl w:val="0"/>
          <w:numId w:val="2"/>
        </w:numPr>
        <w:spacing w:after="60"/>
      </w:pPr>
      <w:r>
        <w:t xml:space="preserve">Materials inventory from deconstruction/rescue with estimated values</w:t>
      </w:r>
    </w:p>
    <w:p>
      <w:pPr>
        <w:pStyle w:val="ListParagraph"/>
        <w:numPr>
          <w:ilvl w:val="0"/>
          <w:numId w:val="2"/>
        </w:numPr>
        <w:spacing w:after="60"/>
      </w:pPr>
      <w:r>
        <w:t xml:space="preserve">Letters of support as relationships form</w:t>
      </w:r>
    </w:p>
    <w:p>
      <w:pPr>
        <w:pStyle w:val="Heading2"/>
        <w:spacing w:after="100" w:before="240"/>
      </w:pPr>
      <w:r>
        <w:rPr>
          <w:color w:val="17233B"/>
        </w:rPr>
        <w:t xml:space="preserve">Registrations to start now</w:t>
      </w:r>
    </w:p>
    <w:p>
      <w:pPr>
        <w:pStyle w:val="ListParagraph"/>
        <w:numPr>
          <w:ilvl w:val="0"/>
          <w:numId w:val="2"/>
        </w:numPr>
        <w:spacing w:after="60"/>
      </w:pPr>
      <w:r>
        <w:t xml:space="preserve">SAM.gov entity registration + UEI (free; allow 2–6 weeks)</w:t>
      </w:r>
    </w:p>
    <w:p>
      <w:pPr>
        <w:pStyle w:val="ListParagraph"/>
        <w:numPr>
          <w:ilvl w:val="0"/>
          <w:numId w:val="2"/>
        </w:numPr>
        <w:spacing w:after="60"/>
      </w:pPr>
      <w:r>
        <w:t xml:space="preserve">Deed verification file for Walmart (Section 3, Step 1)</w:t>
      </w:r>
    </w:p>
    <w:p>
      <w:pPr>
        <w:pStyle w:val="Heading2"/>
        <w:spacing w:after="100" w:before="240"/>
      </w:pPr>
      <w:r>
        <w:rPr>
          <w:color w:val="17233B"/>
        </w:rPr>
        <w:t xml:space="preserve">Decisions you own</w:t>
      </w:r>
    </w:p>
    <w:p>
      <w:pPr>
        <w:pStyle w:val="ListParagraph"/>
        <w:numPr>
          <w:ilvl w:val="0"/>
          <w:numId w:val="2"/>
        </w:numPr>
        <w:spacing w:after="60"/>
      </w:pPr>
      <w:r>
        <w:t xml:space="preserve">Fiscal sponsorship with Frontier Housing — yes/no (unlocks the foundation tier now)</w:t>
      </w:r>
    </w:p>
    <w:p>
      <w:pPr>
        <w:pStyle w:val="ListParagraph"/>
        <w:numPr>
          <w:ilvl w:val="0"/>
          <w:numId w:val="2"/>
        </w:numPr>
        <w:spacing w:after="60"/>
      </w:pPr>
      <w:r>
        <w:t xml:space="preserve">File the CDC's Form 1023-EZ ($275) early — yes/no (starts the multi-year clocks)</w:t>
      </w:r>
    </w:p>
    <w:p>
      <w:pPr>
        <w:pStyle w:val="ListParagraph"/>
        <w:numPr>
          <w:ilvl w:val="0"/>
          <w:numId w:val="2"/>
        </w:numPr>
        <w:spacing w:after="60"/>
      </w:pPr>
      <w:r>
        <w:t xml:space="preserve">Governance change to beneficiary-majority for SDOP — yes/no</w:t>
      </w:r>
    </w:p>
    <w:p>
      <w:pPr>
        <w:pStyle w:val="Heading1"/>
        <w:spacing w:after="140" w:before="320"/>
      </w:pPr>
      <w:r>
        <w:rPr>
          <w:color w:val="17233B"/>
        </w:rPr>
        <w:t xml:space="preserve">6. Submission Checklist (you execute; we never submit)</w:t>
      </w:r>
    </w:p>
    <w:p>
      <w:pPr>
        <w:pStyle w:val="ListParagraph"/>
        <w:numPr>
          <w:ilvl w:val="0"/>
          <w:numId w:val="2"/>
        </w:numPr>
        <w:spacing w:after="60"/>
      </w:pPr>
      <w:r>
        <w:t xml:space="preserve">Resolve every [CLIENT …] marker in this packet; sign the data-room attestation.</w:t>
      </w:r>
    </w:p>
    <w:p>
      <w:pPr>
        <w:pStyle w:val="ListParagraph"/>
        <w:numPr>
          <w:ilvl w:val="0"/>
          <w:numId w:val="2"/>
        </w:numPr>
        <w:spacing w:after="60"/>
      </w:pPr>
      <w:r>
        <w:t xml:space="preserve">Human grant-writer sign-off recorded on the Walmart draft.</w:t>
      </w:r>
    </w:p>
    <w:p>
      <w:pPr>
        <w:pStyle w:val="ListParagraph"/>
        <w:numPr>
          <w:ilvl w:val="0"/>
          <w:numId w:val="2"/>
        </w:numPr>
        <w:spacing w:after="60"/>
      </w:pPr>
      <w:r>
        <w:t xml:space="preserve">Create the Spark Good account; complete Deed verification with the Step 1 file.</w:t>
      </w:r>
    </w:p>
    <w:p>
      <w:pPr>
        <w:pStyle w:val="ListParagraph"/>
        <w:numPr>
          <w:ilvl w:val="0"/>
          <w:numId w:val="2"/>
        </w:numPr>
        <w:spacing w:after="60"/>
      </w:pPr>
      <w:r>
        <w:t xml:space="preserve">Select the facility, paste the final narratives, request $5,000, select Strengthening Community.</w:t>
      </w:r>
    </w:p>
    <w:p>
      <w:pPr>
        <w:pStyle w:val="ListParagraph"/>
        <w:numPr>
          <w:ilvl w:val="0"/>
          <w:numId w:val="2"/>
        </w:numPr>
        <w:spacing w:after="60"/>
      </w:pPr>
      <w:r>
        <w:t xml:space="preserve">Read the final form end-to-end and submit it yourself.</w:t>
      </w:r>
    </w:p>
    <w:p>
      <w:pPr>
        <w:pStyle w:val="ListParagraph"/>
        <w:numPr>
          <w:ilvl w:val="0"/>
          <w:numId w:val="2"/>
        </w:numPr>
        <w:spacing w:after="60"/>
      </w:pPr>
      <w:r>
        <w:t xml:space="preserve">If approved: complete banking setup within 21 days or the award is withdrawn.</w:t>
      </w:r>
    </w:p>
    <w:p>
      <w:pPr>
        <w:pStyle w:val="ListParagraph"/>
        <w:numPr>
          <w:ilvl w:val="0"/>
          <w:numId w:val="2"/>
        </w:numPr>
        <w:spacing w:after="60"/>
      </w:pPr>
      <w:r>
        <w:t xml:space="preserve">Record the outcome either way — a decline feeds the next cycle's revision.</w:t>
      </w:r>
    </w:p>
    <w:p>
      <w:pPr>
        <w:pStyle w:val="ListParagraph"/>
        <w:numPr>
          <w:ilvl w:val="0"/>
          <w:numId w:val="2"/>
        </w:numPr>
        <w:spacing w:after="60"/>
      </w:pPr>
      <w:r>
        <w:t xml:space="preserve">Send both partner letters before September 8; log responses.</w:t>
      </w:r>
    </w:p>
    <w:p>
      <w:pPr>
        <w:spacing w:before="300"/>
      </w:pPr>
      <w:r>
        <w:rPr>
          <w:i/>
          <w:iCs/>
          <w:color w:val="5A6272"/>
          <w:sz w:val="18"/>
          <w:szCs w:val="18"/>
        </w:rPr>
        <w:t xml:space="preserve">Regulus prepares research and drafts; your organization reviews, corrects, signs, and submits its own applications. No outcome is promised or implied; award decisions belong entirely to each funder.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2026-08-20T23:15:41.252Z</dcterms:created>
  <dcterms:modified xsi:type="dcterms:W3CDTF">2026-08-20T23:15:41.252Z</dcterms:modified>
</cp:coreProperties>
</file>

<file path=docProps/custom.xml><?xml version="1.0" encoding="utf-8"?>
<Properties xmlns="http://schemas.openxmlformats.org/officeDocument/2006/custom-properties" xmlns:vt="http://schemas.openxmlformats.org/officeDocument/2006/docPropsVTypes"/>
</file>