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Finite shock</w:t>
            </w:r>
          </w:p>
        </w:tc>
        <w:tc>
          <w:tcPr/>
          <w:p>
            <w:pPr>
              <w:pStyle w:val="Compact"/>
              <w:jc w:val="left"/>
            </w:pPr>
            <w:r>
              <w:t xml:space="preserve">one tick of the quote grid (0.01 in the base market, 0.05 in the coarse-tick specification), applied to each leg’s midpoint price, up and down</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 the sign-disagreement count omits truths smaller in magnitude than the band</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addendum, dated 22 October 2026, the same day as the sweep manifest;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at both shocks of one tick applied to each leg’s midpoint;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excluded from every tally except R3 and R6, which are computed on its seed.</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The tolerance grid of Table S2 is 0.05, 0.10 and 0.25</w:t>
      </w:r>
      <w:r>
        <w:t xml:space="preserve"> </w:t>
      </w:r>
      <w:r>
        <w:t xml:space="preserve">percentage points. The points 0.075, 0.15 and 0.20 are added only so the</w:t>
      </w:r>
      <w:r>
        <w:t xml:space="preserve"> </w:t>
      </w:r>
      <w:r>
        <w:t xml:space="preserve">curve can be drawn. The point 0.50 is also a tolerance specification in the</w:t>
      </w:r>
      <w:r>
        <w:t xml:space="preserve"> </w:t>
      </w:r>
      <w:r>
        <w:t xml:space="preserve">sweep (Section 5.3). Certification and the reported coverages use the grid</w:t>
      </w:r>
      <w:r>
        <w:t xml:space="preserve"> </w:t>
      </w:r>
      <w:r>
        <w:t xml:space="preserve">alone, and the decision rules of the addendum read the frontier at the</w:t>
      </w:r>
      <w:r>
        <w:t xml:space="preserve"> </w:t>
      </w:r>
      <w:r>
        <w:t xml:space="preserve">primary 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declared rules and reads only the sweep and study outputs.</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2026-10-31T10:07:25Z</dcterms:created>
  <dcterms:modified xsi:type="dcterms:W3CDTF">2026-10-31T10:07:25Z</dcterms:modified>
</cp:coreProperties>
</file>

<file path=docProps/custom.xml><?xml version="1.0" encoding="utf-8"?>
<Properties xmlns="http://schemas.openxmlformats.org/officeDocument/2006/custom-properties" xmlns:vt="http://schemas.openxmlformats.org/officeDocument/2006/docPropsVTypes"/>
</file>