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supplementary-material"/>
    <w:p>
      <w:pPr>
        <w:pStyle w:val="Heading1"/>
      </w:pPr>
      <w:r>
        <w:t xml:space="preserve">Supplementary material</w:t>
      </w:r>
    </w:p>
    <w:p>
      <w:pPr>
        <w:pStyle w:val="FirstParagraph"/>
      </w:pPr>
      <w:r>
        <w:rPr>
          <w:i/>
          <w:iCs/>
        </w:rPr>
        <w:t xml:space="preserve">For</w:t>
      </w:r>
      <w:r>
        <w:rPr>
          <w:i/>
          <w:iCs/>
        </w:rPr>
        <w:t xml:space="preserve"> </w:t>
      </w:r>
      <w:r>
        <w:rPr>
          <w:i/>
          <w:iCs/>
        </w:rPr>
        <w:t xml:space="preserve">“When Is a Call–Put Implied-Volatility Spread Measurable? An</w:t>
      </w:r>
      <w:r>
        <w:rPr>
          <w:i/>
          <w:iCs/>
        </w:rPr>
        <w:t xml:space="preserve"> </w:t>
      </w:r>
      <w:r>
        <w:rPr>
          <w:i/>
          <w:iCs/>
        </w:rPr>
        <w:t xml:space="preserve">Abstention-Aware Protocol Validated Against a Known Truth”</w:t>
      </w:r>
      <w:r>
        <w:rPr>
          <w:i/>
          <w:iCs/>
        </w:rPr>
        <w:t xml:space="preserve">. These appendices</w:t>
      </w:r>
      <w:r>
        <w:rPr>
          <w:i/>
          <w:iCs/>
        </w:rPr>
        <w:t xml:space="preserve"> </w:t>
      </w:r>
      <w:r>
        <w:rPr>
          <w:i/>
          <w:iCs/>
        </w:rPr>
        <w:t xml:space="preserve">are not typeset with the article; they are published online alongside it.</w:t>
      </w:r>
    </w:p>
    <w:bookmarkStart w:id="9" w:name="Xfe12589f7af832eb217898b5abbfc8800af60c1"/>
    <w:p>
      <w:pPr>
        <w:pStyle w:val="Heading2"/>
      </w:pPr>
      <w:r>
        <w:t xml:space="preserve">Table S1. Certified coverage by strata, development draw</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Family</w:t>
            </w:r>
          </w:p>
        </w:tc>
        <w:tc>
          <w:tcPr/>
          <w:p>
            <w:pPr>
              <w:pStyle w:val="Compact"/>
              <w:jc w:val="left"/>
            </w:pPr>
            <w:r>
              <w:t xml:space="preserve">Bucket</w:t>
            </w:r>
          </w:p>
        </w:tc>
        <w:tc>
          <w:tcPr/>
          <w:p>
            <w:pPr>
              <w:pStyle w:val="Compact"/>
              <w:jc w:val="right"/>
            </w:pPr>
            <w:r>
              <w:t xml:space="preserve">n</w:t>
            </w:r>
          </w:p>
        </w:tc>
        <w:tc>
          <w:tcPr/>
          <w:p>
            <w:pPr>
              <w:pStyle w:val="Compact"/>
              <w:jc w:val="right"/>
            </w:pPr>
            <w:r>
              <w:t xml:space="preserve">Certified coverage (%)</w:t>
            </w:r>
          </w:p>
        </w:tc>
        <w:tc>
          <w:tcPr/>
          <w:p>
            <w:pPr>
              <w:pStyle w:val="Compact"/>
              <w:jc w:val="right"/>
            </w:pPr>
            <w:r>
              <w:t xml:space="preserve">Certified MAE (pp)</w:t>
            </w:r>
          </w:p>
        </w:tc>
        <w:tc>
          <w:tcPr/>
          <w:p>
            <w:pPr>
              <w:pStyle w:val="Compact"/>
              <w:jc w:val="right"/>
            </w:pPr>
            <w:r>
              <w:t xml:space="preserve">Raw-midpoint MAE (pp)</w:t>
            </w:r>
          </w:p>
        </w:tc>
        <w:tc>
          <w:tcPr/>
          <w:p>
            <w:pPr>
              <w:pStyle w:val="Compact"/>
              <w:jc w:val="right"/>
            </w:pPr>
            <w:r>
              <w:t xml:space="preserve">Raw MAE on abstained (pp)</w:t>
            </w:r>
          </w:p>
        </w:tc>
      </w:tr>
      <w:tr>
        <w:tc>
          <w:tcPr/>
          <w:p>
            <w:pPr>
              <w:pStyle w:val="Compact"/>
              <w:jc w:val="left"/>
            </w:pPr>
            <w:r>
              <w:t xml:space="preserve">Moneyness</w:t>
            </w:r>
          </w:p>
        </w:tc>
        <w:tc>
          <w:tcPr/>
          <w:p>
            <w:pPr>
              <w:pStyle w:val="Compact"/>
              <w:jc w:val="left"/>
            </w:pPr>
            <w:r>
              <w:t xml:space="preserve">K/S=0.90</w:t>
            </w:r>
          </w:p>
        </w:tc>
        <w:tc>
          <w:tcPr/>
          <w:p>
            <w:pPr>
              <w:pStyle w:val="Compact"/>
              <w:jc w:val="right"/>
            </w:pPr>
            <w:r>
              <w:t xml:space="preserve">179</w:t>
            </w:r>
          </w:p>
        </w:tc>
        <w:tc>
          <w:tcPr/>
          <w:p>
            <w:pPr>
              <w:pStyle w:val="Compact"/>
              <w:jc w:val="right"/>
            </w:pPr>
            <w:r>
              <w:t xml:space="preserve">0.0</w:t>
            </w:r>
          </w:p>
        </w:tc>
        <w:tc>
          <w:tcPr/>
          <w:p>
            <w:pPr>
              <w:pStyle w:val="Compact"/>
              <w:jc w:val="right"/>
            </w:pPr>
            <w:r>
              <w:t xml:space="preserve">—</w:t>
            </w:r>
          </w:p>
        </w:tc>
        <w:tc>
          <w:tcPr/>
          <w:p>
            <w:pPr>
              <w:pStyle w:val="Compact"/>
              <w:jc w:val="right"/>
            </w:pPr>
            <w:r>
              <w:t xml:space="preserve">0.054</w:t>
            </w:r>
          </w:p>
        </w:tc>
        <w:tc>
          <w:tcPr/>
          <w:p>
            <w:pPr>
              <w:pStyle w:val="Compact"/>
              <w:jc w:val="right"/>
            </w:pPr>
            <w:r>
              <w:t xml:space="preserve">0.054</w:t>
            </w:r>
          </w:p>
        </w:tc>
      </w:tr>
      <w:tr>
        <w:tc>
          <w:tcPr/>
          <w:p>
            <w:pPr>
              <w:pStyle w:val="Compact"/>
              <w:jc w:val="left"/>
            </w:pPr>
            <w:r>
              <w:t xml:space="preserve">Moneyness</w:t>
            </w:r>
          </w:p>
        </w:tc>
        <w:tc>
          <w:tcPr/>
          <w:p>
            <w:pPr>
              <w:pStyle w:val="Compact"/>
              <w:jc w:val="left"/>
            </w:pPr>
            <w:r>
              <w:t xml:space="preserve">K/S=0.95</w:t>
            </w:r>
          </w:p>
        </w:tc>
        <w:tc>
          <w:tcPr/>
          <w:p>
            <w:pPr>
              <w:pStyle w:val="Compact"/>
              <w:jc w:val="right"/>
            </w:pPr>
            <w:r>
              <w:t xml:space="preserve">179</w:t>
            </w:r>
          </w:p>
        </w:tc>
        <w:tc>
          <w:tcPr/>
          <w:p>
            <w:pPr>
              <w:pStyle w:val="Compact"/>
              <w:jc w:val="right"/>
            </w:pPr>
            <w:r>
              <w:t xml:space="preserve">13.4</w:t>
            </w:r>
          </w:p>
        </w:tc>
        <w:tc>
          <w:tcPr/>
          <w:p>
            <w:pPr>
              <w:pStyle w:val="Compact"/>
              <w:jc w:val="right"/>
            </w:pPr>
            <w:r>
              <w:t xml:space="preserve">0.010</w:t>
            </w:r>
          </w:p>
        </w:tc>
        <w:tc>
          <w:tcPr/>
          <w:p>
            <w:pPr>
              <w:pStyle w:val="Compact"/>
              <w:jc w:val="right"/>
            </w:pPr>
            <w:r>
              <w:t xml:space="preserve">0.028</w:t>
            </w:r>
          </w:p>
        </w:tc>
        <w:tc>
          <w:tcPr/>
          <w:p>
            <w:pPr>
              <w:pStyle w:val="Compact"/>
              <w:jc w:val="right"/>
            </w:pPr>
            <w:r>
              <w:t xml:space="preserve">0.030</w:t>
            </w:r>
          </w:p>
        </w:tc>
      </w:tr>
      <w:tr>
        <w:tc>
          <w:tcPr/>
          <w:p>
            <w:pPr>
              <w:pStyle w:val="Compact"/>
              <w:jc w:val="left"/>
            </w:pPr>
            <w:r>
              <w:t xml:space="preserve">Moneyness</w:t>
            </w:r>
          </w:p>
        </w:tc>
        <w:tc>
          <w:tcPr/>
          <w:p>
            <w:pPr>
              <w:pStyle w:val="Compact"/>
              <w:jc w:val="left"/>
            </w:pPr>
            <w:r>
              <w:t xml:space="preserve">K/S=1.00</w:t>
            </w:r>
          </w:p>
        </w:tc>
        <w:tc>
          <w:tcPr/>
          <w:p>
            <w:pPr>
              <w:pStyle w:val="Compact"/>
              <w:jc w:val="right"/>
            </w:pPr>
            <w:r>
              <w:t xml:space="preserve">179</w:t>
            </w:r>
          </w:p>
        </w:tc>
        <w:tc>
          <w:tcPr/>
          <w:p>
            <w:pPr>
              <w:pStyle w:val="Compact"/>
              <w:jc w:val="right"/>
            </w:pPr>
            <w:r>
              <w:t xml:space="preserve">13.4</w:t>
            </w:r>
          </w:p>
        </w:tc>
        <w:tc>
          <w:tcPr/>
          <w:p>
            <w:pPr>
              <w:pStyle w:val="Compact"/>
              <w:jc w:val="right"/>
            </w:pPr>
            <w:r>
              <w:t xml:space="preserve">0.009</w:t>
            </w:r>
          </w:p>
        </w:tc>
        <w:tc>
          <w:tcPr/>
          <w:p>
            <w:pPr>
              <w:pStyle w:val="Compact"/>
              <w:jc w:val="right"/>
            </w:pPr>
            <w:r>
              <w:t xml:space="preserve">0.024</w:t>
            </w:r>
          </w:p>
        </w:tc>
        <w:tc>
          <w:tcPr/>
          <w:p>
            <w:pPr>
              <w:pStyle w:val="Compact"/>
              <w:jc w:val="right"/>
            </w:pPr>
            <w:r>
              <w:t xml:space="preserve">0.027</w:t>
            </w:r>
          </w:p>
        </w:tc>
      </w:tr>
      <w:tr>
        <w:tc>
          <w:tcPr/>
          <w:p>
            <w:pPr>
              <w:pStyle w:val="Compact"/>
              <w:jc w:val="left"/>
            </w:pPr>
            <w:r>
              <w:t xml:space="preserve">Moneyness</w:t>
            </w:r>
          </w:p>
        </w:tc>
        <w:tc>
          <w:tcPr/>
          <w:p>
            <w:pPr>
              <w:pStyle w:val="Compact"/>
              <w:jc w:val="left"/>
            </w:pPr>
            <w:r>
              <w:t xml:space="preserve">K/S=1.05</w:t>
            </w:r>
          </w:p>
        </w:tc>
        <w:tc>
          <w:tcPr/>
          <w:p>
            <w:pPr>
              <w:pStyle w:val="Compact"/>
              <w:jc w:val="right"/>
            </w:pPr>
            <w:r>
              <w:t xml:space="preserve">178</w:t>
            </w:r>
          </w:p>
        </w:tc>
        <w:tc>
          <w:tcPr/>
          <w:p>
            <w:pPr>
              <w:pStyle w:val="Compact"/>
              <w:jc w:val="right"/>
            </w:pPr>
            <w:r>
              <w:t xml:space="preserve">13.5</w:t>
            </w:r>
          </w:p>
        </w:tc>
        <w:tc>
          <w:tcPr/>
          <w:p>
            <w:pPr>
              <w:pStyle w:val="Compact"/>
              <w:jc w:val="right"/>
            </w:pPr>
            <w:r>
              <w:t xml:space="preserve">0.007</w:t>
            </w:r>
          </w:p>
        </w:tc>
        <w:tc>
          <w:tcPr/>
          <w:p>
            <w:pPr>
              <w:pStyle w:val="Compact"/>
              <w:jc w:val="right"/>
            </w:pPr>
            <w:r>
              <w:t xml:space="preserve">0.041</w:t>
            </w:r>
          </w:p>
        </w:tc>
        <w:tc>
          <w:tcPr/>
          <w:p>
            <w:pPr>
              <w:pStyle w:val="Compact"/>
              <w:jc w:val="right"/>
            </w:pPr>
            <w:r>
              <w:t xml:space="preserve">0.047</w:t>
            </w:r>
          </w:p>
        </w:tc>
      </w:tr>
      <w:tr>
        <w:tc>
          <w:tcPr/>
          <w:p>
            <w:pPr>
              <w:pStyle w:val="Compact"/>
              <w:jc w:val="left"/>
            </w:pPr>
            <w:r>
              <w:t xml:space="preserve">Moneyness</w:t>
            </w:r>
          </w:p>
        </w:tc>
        <w:tc>
          <w:tcPr/>
          <w:p>
            <w:pPr>
              <w:pStyle w:val="Compact"/>
              <w:jc w:val="left"/>
            </w:pPr>
            <w:r>
              <w:t xml:space="preserve">K/S=1.10</w:t>
            </w:r>
          </w:p>
        </w:tc>
        <w:tc>
          <w:tcPr/>
          <w:p>
            <w:pPr>
              <w:pStyle w:val="Compact"/>
              <w:jc w:val="right"/>
            </w:pPr>
            <w:r>
              <w:t xml:space="preserve">179</w:t>
            </w:r>
          </w:p>
        </w:tc>
        <w:tc>
          <w:tcPr/>
          <w:p>
            <w:pPr>
              <w:pStyle w:val="Compact"/>
              <w:jc w:val="right"/>
            </w:pPr>
            <w:r>
              <w:t xml:space="preserve">0.0</w:t>
            </w:r>
          </w:p>
        </w:tc>
        <w:tc>
          <w:tcPr/>
          <w:p>
            <w:pPr>
              <w:pStyle w:val="Compact"/>
              <w:jc w:val="right"/>
            </w:pPr>
            <w:r>
              <w:t xml:space="preserve">—</w:t>
            </w:r>
          </w:p>
        </w:tc>
        <w:tc>
          <w:tcPr/>
          <w:p>
            <w:pPr>
              <w:pStyle w:val="Compact"/>
              <w:jc w:val="right"/>
            </w:pPr>
            <w:r>
              <w:t xml:space="preserve">2.508</w:t>
            </w:r>
          </w:p>
        </w:tc>
        <w:tc>
          <w:tcPr/>
          <w:p>
            <w:pPr>
              <w:pStyle w:val="Compact"/>
              <w:jc w:val="right"/>
            </w:pPr>
            <w:r>
              <w:t xml:space="preserve">2.508</w:t>
            </w:r>
          </w:p>
        </w:tc>
      </w:tr>
      <w:tr>
        <w:tc>
          <w:tcPr/>
          <w:p>
            <w:pPr>
              <w:pStyle w:val="Compact"/>
              <w:jc w:val="left"/>
            </w:pPr>
            <w:r>
              <w:t xml:space="preserve">Maturity</w:t>
            </w:r>
          </w:p>
        </w:tc>
        <w:tc>
          <w:tcPr/>
          <w:p>
            <w:pPr>
              <w:pStyle w:val="Compact"/>
              <w:jc w:val="left"/>
            </w:pPr>
            <w:r>
              <w:t xml:space="preserve">14d</w:t>
            </w:r>
          </w:p>
        </w:tc>
        <w:tc>
          <w:tcPr/>
          <w:p>
            <w:pPr>
              <w:pStyle w:val="Compact"/>
              <w:jc w:val="right"/>
            </w:pPr>
            <w:r>
              <w:t xml:space="preserve">298</w:t>
            </w:r>
          </w:p>
        </w:tc>
        <w:tc>
          <w:tcPr/>
          <w:p>
            <w:pPr>
              <w:pStyle w:val="Compact"/>
              <w:jc w:val="right"/>
            </w:pPr>
            <w:r>
              <w:t xml:space="preserve">0.0</w:t>
            </w:r>
          </w:p>
        </w:tc>
        <w:tc>
          <w:tcPr/>
          <w:p>
            <w:pPr>
              <w:pStyle w:val="Compact"/>
              <w:jc w:val="right"/>
            </w:pPr>
            <w:r>
              <w:t xml:space="preserve">—</w:t>
            </w:r>
          </w:p>
        </w:tc>
        <w:tc>
          <w:tcPr/>
          <w:p>
            <w:pPr>
              <w:pStyle w:val="Compact"/>
              <w:jc w:val="right"/>
            </w:pPr>
            <w:r>
              <w:t xml:space="preserve">1.504</w:t>
            </w:r>
          </w:p>
        </w:tc>
        <w:tc>
          <w:tcPr/>
          <w:p>
            <w:pPr>
              <w:pStyle w:val="Compact"/>
              <w:jc w:val="right"/>
            </w:pPr>
            <w:r>
              <w:t xml:space="preserve">1.504</w:t>
            </w:r>
          </w:p>
        </w:tc>
      </w:tr>
      <w:tr>
        <w:tc>
          <w:tcPr/>
          <w:p>
            <w:pPr>
              <w:pStyle w:val="Compact"/>
              <w:jc w:val="left"/>
            </w:pPr>
            <w:r>
              <w:t xml:space="preserve">Maturity</w:t>
            </w:r>
          </w:p>
        </w:tc>
        <w:tc>
          <w:tcPr/>
          <w:p>
            <w:pPr>
              <w:pStyle w:val="Compact"/>
              <w:jc w:val="left"/>
            </w:pPr>
            <w:r>
              <w:t xml:space="preserve">30d</w:t>
            </w:r>
          </w:p>
        </w:tc>
        <w:tc>
          <w:tcPr/>
          <w:p>
            <w:pPr>
              <w:pStyle w:val="Compact"/>
              <w:jc w:val="right"/>
            </w:pPr>
            <w:r>
              <w:t xml:space="preserve">298</w:t>
            </w:r>
          </w:p>
        </w:tc>
        <w:tc>
          <w:tcPr/>
          <w:p>
            <w:pPr>
              <w:pStyle w:val="Compact"/>
              <w:jc w:val="right"/>
            </w:pPr>
            <w:r>
              <w:t xml:space="preserve">0.0</w:t>
            </w:r>
          </w:p>
        </w:tc>
        <w:tc>
          <w:tcPr/>
          <w:p>
            <w:pPr>
              <w:pStyle w:val="Compact"/>
              <w:jc w:val="right"/>
            </w:pPr>
            <w:r>
              <w:t xml:space="preserve">—</w:t>
            </w:r>
          </w:p>
        </w:tc>
        <w:tc>
          <w:tcPr/>
          <w:p>
            <w:pPr>
              <w:pStyle w:val="Compact"/>
              <w:jc w:val="right"/>
            </w:pPr>
            <w:r>
              <w:t xml:space="preserve">0.068</w:t>
            </w:r>
          </w:p>
        </w:tc>
        <w:tc>
          <w:tcPr/>
          <w:p>
            <w:pPr>
              <w:pStyle w:val="Compact"/>
              <w:jc w:val="right"/>
            </w:pPr>
            <w:r>
              <w:t xml:space="preserve">0.068</w:t>
            </w:r>
          </w:p>
        </w:tc>
      </w:tr>
      <w:tr>
        <w:tc>
          <w:tcPr/>
          <w:p>
            <w:pPr>
              <w:pStyle w:val="Compact"/>
              <w:jc w:val="left"/>
            </w:pPr>
            <w:r>
              <w:t xml:space="preserve">Maturity</w:t>
            </w:r>
          </w:p>
        </w:tc>
        <w:tc>
          <w:tcPr/>
          <w:p>
            <w:pPr>
              <w:pStyle w:val="Compact"/>
              <w:jc w:val="left"/>
            </w:pPr>
            <w:r>
              <w:t xml:space="preserve">60d</w:t>
            </w:r>
          </w:p>
        </w:tc>
        <w:tc>
          <w:tcPr/>
          <w:p>
            <w:pPr>
              <w:pStyle w:val="Compact"/>
              <w:jc w:val="right"/>
            </w:pPr>
            <w:r>
              <w:t xml:space="preserve">298</w:t>
            </w:r>
          </w:p>
        </w:tc>
        <w:tc>
          <w:tcPr/>
          <w:p>
            <w:pPr>
              <w:pStyle w:val="Compact"/>
              <w:jc w:val="right"/>
            </w:pPr>
            <w:r>
              <w:t xml:space="preserve">24.2</w:t>
            </w:r>
          </w:p>
        </w:tc>
        <w:tc>
          <w:tcPr/>
          <w:p>
            <w:pPr>
              <w:pStyle w:val="Compact"/>
              <w:jc w:val="right"/>
            </w:pPr>
            <w:r>
              <w:t xml:space="preserve">0.009</w:t>
            </w:r>
          </w:p>
        </w:tc>
        <w:tc>
          <w:tcPr/>
          <w:p>
            <w:pPr>
              <w:pStyle w:val="Compact"/>
              <w:jc w:val="right"/>
            </w:pPr>
            <w:r>
              <w:t xml:space="preserve">0.019</w:t>
            </w:r>
          </w:p>
        </w:tc>
        <w:tc>
          <w:tcPr/>
          <w:p>
            <w:pPr>
              <w:pStyle w:val="Compact"/>
              <w:jc w:val="right"/>
            </w:pPr>
            <w:r>
              <w:t xml:space="preserve">0.022</w:t>
            </w:r>
          </w:p>
        </w:tc>
      </w:tr>
      <w:tr>
        <w:tc>
          <w:tcPr/>
          <w:p>
            <w:pPr>
              <w:pStyle w:val="Compact"/>
              <w:jc w:val="left"/>
            </w:pPr>
            <w:r>
              <w:t xml:space="preserve">Half-spread</w:t>
            </w:r>
          </w:p>
        </w:tc>
        <w:tc>
          <w:tcPr/>
          <w:p>
            <w:pPr>
              <w:pStyle w:val="Compact"/>
              <w:jc w:val="left"/>
            </w:pPr>
            <w:r>
              <w:t xml:space="preserve">1 tick half-spread</w:t>
            </w:r>
          </w:p>
        </w:tc>
        <w:tc>
          <w:tcPr/>
          <w:p>
            <w:pPr>
              <w:pStyle w:val="Compact"/>
              <w:jc w:val="right"/>
            </w:pPr>
            <w:r>
              <w:t xml:space="preserve">299</w:t>
            </w:r>
          </w:p>
        </w:tc>
        <w:tc>
          <w:tcPr/>
          <w:p>
            <w:pPr>
              <w:pStyle w:val="Compact"/>
              <w:jc w:val="right"/>
            </w:pPr>
            <w:r>
              <w:t xml:space="preserve">24.1</w:t>
            </w:r>
          </w:p>
        </w:tc>
        <w:tc>
          <w:tcPr/>
          <w:p>
            <w:pPr>
              <w:pStyle w:val="Compact"/>
              <w:jc w:val="right"/>
            </w:pPr>
            <w:r>
              <w:t xml:space="preserve">0.009</w:t>
            </w:r>
          </w:p>
        </w:tc>
        <w:tc>
          <w:tcPr/>
          <w:p>
            <w:pPr>
              <w:pStyle w:val="Compact"/>
              <w:jc w:val="right"/>
            </w:pPr>
            <w:r>
              <w:t xml:space="preserve">0.020</w:t>
            </w:r>
          </w:p>
        </w:tc>
        <w:tc>
          <w:tcPr/>
          <w:p>
            <w:pPr>
              <w:pStyle w:val="Compact"/>
              <w:jc w:val="right"/>
            </w:pPr>
            <w:r>
              <w:t xml:space="preserve">0.023</w:t>
            </w:r>
          </w:p>
        </w:tc>
      </w:tr>
      <w:tr>
        <w:tc>
          <w:tcPr/>
          <w:p>
            <w:pPr>
              <w:pStyle w:val="Compact"/>
              <w:jc w:val="left"/>
            </w:pPr>
            <w:r>
              <w:t xml:space="preserve">Half-spread</w:t>
            </w:r>
          </w:p>
        </w:tc>
        <w:tc>
          <w:tcPr/>
          <w:p>
            <w:pPr>
              <w:pStyle w:val="Compact"/>
              <w:jc w:val="left"/>
            </w:pPr>
            <w:r>
              <w:t xml:space="preserve">2 tick half-spread</w:t>
            </w:r>
          </w:p>
        </w:tc>
        <w:tc>
          <w:tcPr/>
          <w:p>
            <w:pPr>
              <w:pStyle w:val="Compact"/>
              <w:jc w:val="right"/>
            </w:pPr>
            <w:r>
              <w:t xml:space="preserve">348</w:t>
            </w:r>
          </w:p>
        </w:tc>
        <w:tc>
          <w:tcPr/>
          <w:p>
            <w:pPr>
              <w:pStyle w:val="Compact"/>
              <w:jc w:val="right"/>
            </w:pPr>
            <w:r>
              <w:t xml:space="preserve">0.0</w:t>
            </w:r>
          </w:p>
        </w:tc>
        <w:tc>
          <w:tcPr/>
          <w:p>
            <w:pPr>
              <w:pStyle w:val="Compact"/>
              <w:jc w:val="right"/>
            </w:pPr>
            <w:r>
              <w:t xml:space="preserve">—</w:t>
            </w:r>
          </w:p>
        </w:tc>
        <w:tc>
          <w:tcPr/>
          <w:p>
            <w:pPr>
              <w:pStyle w:val="Compact"/>
              <w:jc w:val="right"/>
            </w:pPr>
            <w:r>
              <w:t xml:space="preserve">0.062</w:t>
            </w:r>
          </w:p>
        </w:tc>
        <w:tc>
          <w:tcPr/>
          <w:p>
            <w:pPr>
              <w:pStyle w:val="Compact"/>
              <w:jc w:val="right"/>
            </w:pPr>
            <w:r>
              <w:t xml:space="preserve">0.062</w:t>
            </w:r>
          </w:p>
        </w:tc>
      </w:tr>
      <w:tr>
        <w:tc>
          <w:tcPr/>
          <w:p>
            <w:pPr>
              <w:pStyle w:val="Compact"/>
              <w:jc w:val="left"/>
            </w:pPr>
            <w:r>
              <w:t xml:space="preserve">Half-spread</w:t>
            </w:r>
          </w:p>
        </w:tc>
        <w:tc>
          <w:tcPr/>
          <w:p>
            <w:pPr>
              <w:pStyle w:val="Compact"/>
              <w:jc w:val="left"/>
            </w:pPr>
            <w:r>
              <w:t xml:space="preserve">3 tick half-spread</w:t>
            </w:r>
          </w:p>
        </w:tc>
        <w:tc>
          <w:tcPr/>
          <w:p>
            <w:pPr>
              <w:pStyle w:val="Compact"/>
              <w:jc w:val="right"/>
            </w:pPr>
            <w:r>
              <w:t xml:space="preserve">99</w:t>
            </w:r>
          </w:p>
        </w:tc>
        <w:tc>
          <w:tcPr/>
          <w:p>
            <w:pPr>
              <w:pStyle w:val="Compact"/>
              <w:jc w:val="right"/>
            </w:pPr>
            <w:r>
              <w:t xml:space="preserve">0.0</w:t>
            </w:r>
          </w:p>
        </w:tc>
        <w:tc>
          <w:tcPr/>
          <w:p>
            <w:pPr>
              <w:pStyle w:val="Compact"/>
              <w:jc w:val="right"/>
            </w:pPr>
            <w:r>
              <w:t xml:space="preserve">—</w:t>
            </w:r>
          </w:p>
        </w:tc>
        <w:tc>
          <w:tcPr/>
          <w:p>
            <w:pPr>
              <w:pStyle w:val="Compact"/>
              <w:jc w:val="right"/>
            </w:pPr>
            <w:r>
              <w:t xml:space="preserve">3.568</w:t>
            </w:r>
          </w:p>
        </w:tc>
        <w:tc>
          <w:tcPr/>
          <w:p>
            <w:pPr>
              <w:pStyle w:val="Compact"/>
              <w:jc w:val="right"/>
            </w:pPr>
            <w:r>
              <w:t xml:space="preserve">3.568</w:t>
            </w:r>
          </w:p>
        </w:tc>
      </w:tr>
      <w:tr>
        <w:tc>
          <w:tcPr/>
          <w:p>
            <w:pPr>
              <w:pStyle w:val="Compact"/>
              <w:jc w:val="left"/>
            </w:pPr>
            <w:r>
              <w:t xml:space="preserve">Half-spread</w:t>
            </w:r>
          </w:p>
        </w:tc>
        <w:tc>
          <w:tcPr/>
          <w:p>
            <w:pPr>
              <w:pStyle w:val="Compact"/>
              <w:jc w:val="left"/>
            </w:pPr>
            <w:r>
              <w:t xml:space="preserve">wide session</w:t>
            </w:r>
          </w:p>
        </w:tc>
        <w:tc>
          <w:tcPr/>
          <w:p>
            <w:pPr>
              <w:pStyle w:val="Compact"/>
              <w:jc w:val="right"/>
            </w:pPr>
            <w:r>
              <w:t xml:space="preserve">148</w:t>
            </w:r>
          </w:p>
        </w:tc>
        <w:tc>
          <w:tcPr/>
          <w:p>
            <w:pPr>
              <w:pStyle w:val="Compact"/>
              <w:jc w:val="right"/>
            </w:pPr>
            <w:r>
              <w:t xml:space="preserve">0.0</w:t>
            </w:r>
          </w:p>
        </w:tc>
        <w:tc>
          <w:tcPr/>
          <w:p>
            <w:pPr>
              <w:pStyle w:val="Compact"/>
              <w:jc w:val="right"/>
            </w:pPr>
            <w:r>
              <w:t xml:space="preserve">—</w:t>
            </w:r>
          </w:p>
        </w:tc>
        <w:tc>
          <w:tcPr/>
          <w:p>
            <w:pPr>
              <w:pStyle w:val="Compact"/>
              <w:jc w:val="right"/>
            </w:pPr>
            <w:r>
              <w:t xml:space="preserve">0.644</w:t>
            </w:r>
          </w:p>
        </w:tc>
        <w:tc>
          <w:tcPr/>
          <w:p>
            <w:pPr>
              <w:pStyle w:val="Compact"/>
              <w:jc w:val="right"/>
            </w:pPr>
            <w:r>
              <w:t xml:space="preserve">0.644</w:t>
            </w:r>
          </w:p>
        </w:tc>
      </w:tr>
      <w:tr>
        <w:tc>
          <w:tcPr/>
          <w:p>
            <w:pPr>
              <w:pStyle w:val="Compact"/>
              <w:jc w:val="left"/>
            </w:pPr>
            <w:r>
              <w:t xml:space="preserve">True magnitude</w:t>
            </w:r>
          </w:p>
        </w:tc>
        <w:tc>
          <w:tcPr/>
          <w:p>
            <w:pPr>
              <w:pStyle w:val="Compact"/>
              <w:jc w:val="left"/>
            </w:pPr>
            <w:r>
              <w:t xml:space="preserve">0.1-1 pp</w:t>
            </w:r>
          </w:p>
        </w:tc>
        <w:tc>
          <w:tcPr/>
          <w:p>
            <w:pPr>
              <w:pStyle w:val="Compact"/>
              <w:jc w:val="right"/>
            </w:pPr>
            <w:r>
              <w:t xml:space="preserve">299</w:t>
            </w:r>
          </w:p>
        </w:tc>
        <w:tc>
          <w:tcPr/>
          <w:p>
            <w:pPr>
              <w:pStyle w:val="Compact"/>
              <w:jc w:val="right"/>
            </w:pPr>
            <w:r>
              <w:t xml:space="preserve">16.1</w:t>
            </w:r>
          </w:p>
        </w:tc>
        <w:tc>
          <w:tcPr/>
          <w:p>
            <w:pPr>
              <w:pStyle w:val="Compact"/>
              <w:jc w:val="right"/>
            </w:pPr>
            <w:r>
              <w:t xml:space="preserve">0.010</w:t>
            </w:r>
          </w:p>
        </w:tc>
        <w:tc>
          <w:tcPr/>
          <w:p>
            <w:pPr>
              <w:pStyle w:val="Compact"/>
              <w:jc w:val="right"/>
            </w:pPr>
            <w:r>
              <w:t xml:space="preserve">0.022</w:t>
            </w:r>
          </w:p>
        </w:tc>
        <w:tc>
          <w:tcPr/>
          <w:p>
            <w:pPr>
              <w:pStyle w:val="Compact"/>
              <w:jc w:val="right"/>
            </w:pPr>
            <w:r>
              <w:t xml:space="preserve">0.024</w:t>
            </w:r>
          </w:p>
        </w:tc>
      </w:tr>
      <w:tr>
        <w:tc>
          <w:tcPr/>
          <w:p>
            <w:pPr>
              <w:pStyle w:val="Compact"/>
              <w:jc w:val="left"/>
            </w:pPr>
            <w:r>
              <w:t xml:space="preserve">True magnitude</w:t>
            </w:r>
          </w:p>
        </w:tc>
        <w:tc>
          <w:tcPr/>
          <w:p>
            <w:pPr>
              <w:pStyle w:val="Compact"/>
              <w:jc w:val="left"/>
            </w:pPr>
            <w:r>
              <w:t xml:space="preserve">&lt;0.1 pp</w:t>
            </w:r>
          </w:p>
        </w:tc>
        <w:tc>
          <w:tcPr/>
          <w:p>
            <w:pPr>
              <w:pStyle w:val="Compact"/>
              <w:jc w:val="right"/>
            </w:pPr>
            <w:r>
              <w:t xml:space="preserve">238</w:t>
            </w:r>
          </w:p>
        </w:tc>
        <w:tc>
          <w:tcPr/>
          <w:p>
            <w:pPr>
              <w:pStyle w:val="Compact"/>
              <w:jc w:val="right"/>
            </w:pPr>
            <w:r>
              <w:t xml:space="preserve">0.0</w:t>
            </w:r>
          </w:p>
        </w:tc>
        <w:tc>
          <w:tcPr/>
          <w:p>
            <w:pPr>
              <w:pStyle w:val="Compact"/>
              <w:jc w:val="right"/>
            </w:pPr>
            <w:r>
              <w:t xml:space="preserve">—</w:t>
            </w:r>
          </w:p>
        </w:tc>
        <w:tc>
          <w:tcPr/>
          <w:p>
            <w:pPr>
              <w:pStyle w:val="Compact"/>
              <w:jc w:val="right"/>
            </w:pPr>
            <w:r>
              <w:t xml:space="preserve">0.052</w:t>
            </w:r>
          </w:p>
        </w:tc>
        <w:tc>
          <w:tcPr/>
          <w:p>
            <w:pPr>
              <w:pStyle w:val="Compact"/>
              <w:jc w:val="right"/>
            </w:pPr>
            <w:r>
              <w:t xml:space="preserve">0.052</w:t>
            </w:r>
          </w:p>
        </w:tc>
      </w:tr>
      <w:tr>
        <w:tc>
          <w:tcPr/>
          <w:p>
            <w:pPr>
              <w:pStyle w:val="Compact"/>
              <w:jc w:val="left"/>
            </w:pPr>
            <w:r>
              <w:t xml:space="preserve">True magnitude</w:t>
            </w:r>
          </w:p>
        </w:tc>
        <w:tc>
          <w:tcPr/>
          <w:p>
            <w:pPr>
              <w:pStyle w:val="Compact"/>
              <w:jc w:val="left"/>
            </w:pPr>
            <w:r>
              <w:t xml:space="preserve">&gt;=1 pp</w:t>
            </w:r>
          </w:p>
        </w:tc>
        <w:tc>
          <w:tcPr/>
          <w:p>
            <w:pPr>
              <w:pStyle w:val="Compact"/>
              <w:jc w:val="right"/>
            </w:pPr>
            <w:r>
              <w:t xml:space="preserve">357</w:t>
            </w:r>
          </w:p>
        </w:tc>
        <w:tc>
          <w:tcPr/>
          <w:p>
            <w:pPr>
              <w:pStyle w:val="Compact"/>
              <w:jc w:val="right"/>
            </w:pPr>
            <w:r>
              <w:t xml:space="preserve">6.7</w:t>
            </w:r>
          </w:p>
        </w:tc>
        <w:tc>
          <w:tcPr/>
          <w:p>
            <w:pPr>
              <w:pStyle w:val="Compact"/>
              <w:jc w:val="right"/>
            </w:pPr>
            <w:r>
              <w:t xml:space="preserve">0.007</w:t>
            </w:r>
          </w:p>
        </w:tc>
        <w:tc>
          <w:tcPr/>
          <w:p>
            <w:pPr>
              <w:pStyle w:val="Compact"/>
              <w:jc w:val="right"/>
            </w:pPr>
            <w:r>
              <w:t xml:space="preserve">1.275</w:t>
            </w:r>
          </w:p>
        </w:tc>
        <w:tc>
          <w:tcPr/>
          <w:p>
            <w:pPr>
              <w:pStyle w:val="Compact"/>
              <w:jc w:val="right"/>
            </w:pPr>
            <w:r>
              <w:t xml:space="preserve">1.366</w:t>
            </w:r>
          </w:p>
        </w:tc>
      </w:tr>
    </w:tbl>
    <w:p>
      <w:pPr>
        <w:pStyle w:val="BodyText"/>
      </w:pPr>
      <w:r>
        <w:rPr>
          <w:i/>
          <w:iCs/>
        </w:rPr>
        <w:t xml:space="preserve">Note: n is the number of attempted pairs in the bucket. Coverage is the share of the bucket the protocol certifies at 0.10 percentage points. MAE is the mean absolute error against the benchmark’s defined truth, in percentage points of volatility, computed on the pairs each method can use; a dash means the method certified nothing in that bucket. The rightmost column is the raw midpoint’s error on the pairs the protocol declined to certify.</w:t>
      </w:r>
    </w:p>
    <w:p>
      <w:r/>
    </w:p>
    <w:bookmarkEnd w:id="9"/>
    <w:bookmarkStart w:id="10" w:name="table-s2.-the-declared-settings"/>
    <w:p>
      <w:pPr>
        <w:pStyle w:val="Heading2"/>
      </w:pPr>
      <w:r>
        <w:t xml:space="preserve">Table S2. The declared settings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Inversion map</w:t>
            </w:r>
          </w:p>
        </w:tc>
        <w:tc>
          <w:tcPr/>
          <w:p>
            <w:pPr>
              <w:pStyle w:val="Compact"/>
              <w:jc w:val="left"/>
            </w:pPr>
            <w:r>
              <w:t xml:space="preserve">European Black–Scholes–Merton, common to both legs</w:t>
            </w:r>
          </w:p>
        </w:tc>
      </w:tr>
      <w:tr>
        <w:tc>
          <w:tcPr/>
          <w:p>
            <w:pPr>
              <w:pStyle w:val="Compact"/>
              <w:jc w:val="left"/>
            </w:pPr>
            <w:r>
              <w:t xml:space="preserve">Root bracket</w:t>
            </w:r>
          </w:p>
        </w:tc>
        <w:tc>
          <w:tcPr/>
          <w:p>
            <w:pPr>
              <w:pStyle w:val="Compact"/>
              <w:jc w:val="left"/>
            </w:pPr>
            <w:r>
              <w:t xml:space="preserve">decimal IV in [10⁻⁸, 5], bisection, ≤ 64 iterations, no clipping</w:t>
            </w:r>
          </w:p>
        </w:tc>
      </w:tr>
      <w:tr>
        <w:tc>
          <w:tcPr/>
          <w:p>
            <w:pPr>
              <w:pStyle w:val="Compact"/>
              <w:jc w:val="left"/>
            </w:pPr>
            <w:r>
              <w:t xml:space="preserve">Near-bound guard</w:t>
            </w:r>
          </w:p>
        </w:tc>
        <w:tc>
          <w:tcPr/>
          <w:p>
            <w:pPr>
              <w:pStyle w:val="Compact"/>
              <w:jc w:val="left"/>
            </w:pPr>
            <w:r>
              <w:t xml:space="preserve">prices within 10⁻¹⁰ of a European bound are rejected, not inverted</w:t>
            </w:r>
          </w:p>
        </w:tc>
      </w:tr>
      <w:tr>
        <w:tc>
          <w:tcPr/>
          <w:p>
            <w:pPr>
              <w:pStyle w:val="Compact"/>
              <w:jc w:val="left"/>
            </w:pPr>
            <w:r>
              <w:t xml:space="preserve">Resolution scale</w:t>
            </w:r>
          </w:p>
        </w:tc>
        <w:tc>
          <w:tcPr/>
          <w:p>
            <w:pPr>
              <w:pStyle w:val="Compact"/>
              <w:jc w:val="left"/>
            </w:pPr>
            <w:r>
              <w:t xml:space="preserve">1 tick of out-of-the-money-equivalent time value</w:t>
            </w:r>
          </w:p>
        </w:tc>
      </w:tr>
      <w:tr>
        <w:tc>
          <w:tcPr/>
          <w:p>
            <w:pPr>
              <w:pStyle w:val="Compact"/>
              <w:jc w:val="left"/>
            </w:pPr>
            <w:r>
              <w:t xml:space="preserve">Finite shock</w:t>
            </w:r>
          </w:p>
        </w:tc>
        <w:tc>
          <w:tcPr/>
          <w:p>
            <w:pPr>
              <w:pStyle w:val="Compact"/>
              <w:jc w:val="left"/>
            </w:pPr>
            <w:r>
              <w:t xml:space="preserve">one tick of the quote grid (0.01 in the base market, 0.05 in the coarse-tick specification), applied to each leg’s midpoint price, up and down</w:t>
            </w:r>
          </w:p>
        </w:tc>
      </w:tr>
      <w:tr>
        <w:tc>
          <w:tcPr/>
          <w:p>
            <w:pPr>
              <w:pStyle w:val="Compact"/>
              <w:jc w:val="left"/>
            </w:pPr>
            <w:r>
              <w:t xml:space="preserve">Synchronization tolerance</w:t>
            </w:r>
          </w:p>
        </w:tc>
        <w:tc>
          <w:tcPr/>
          <w:p>
            <w:pPr>
              <w:pStyle w:val="Compact"/>
              <w:jc w:val="left"/>
            </w:pPr>
            <w:r>
              <w:t xml:space="preserve">2 s for call–put, call–spot and put–spot lags</w:t>
            </w:r>
          </w:p>
        </w:tc>
      </w:tr>
      <w:tr>
        <w:tc>
          <w:tcPr/>
          <w:p>
            <w:pPr>
              <w:pStyle w:val="Compact"/>
              <w:jc w:val="left"/>
            </w:pPr>
            <w:r>
              <w:t xml:space="preserve">Tolerance grid</w:t>
            </w:r>
          </w:p>
        </w:tc>
        <w:tc>
          <w:tcPr/>
          <w:p>
            <w:pPr>
              <w:pStyle w:val="Compact"/>
              <w:jc w:val="left"/>
            </w:pPr>
            <w:r>
              <w:t xml:space="preserve">0.05 / 0.10 / 0.25 percentage points, all reported</w:t>
            </w:r>
          </w:p>
        </w:tc>
      </w:tr>
      <w:tr>
        <w:tc>
          <w:tcPr/>
          <w:p>
            <w:pPr>
              <w:pStyle w:val="Compact"/>
              <w:jc w:val="left"/>
            </w:pPr>
            <w:r>
              <w:t xml:space="preserve">Primary tolerance</w:t>
            </w:r>
          </w:p>
        </w:tc>
        <w:tc>
          <w:tcPr/>
          <w:p>
            <w:pPr>
              <w:pStyle w:val="Compact"/>
              <w:jc w:val="left"/>
            </w:pPr>
            <w:r>
              <w:t xml:space="preserve">0.10 percentage points, declared in the addendum</w:t>
            </w:r>
          </w:p>
        </w:tc>
      </w:tr>
      <w:tr>
        <w:tc>
          <w:tcPr/>
          <w:p>
            <w:pPr>
              <w:pStyle w:val="Compact"/>
              <w:jc w:val="left"/>
            </w:pPr>
            <w:r>
              <w:t xml:space="preserve">Certification displacement</w:t>
            </w:r>
          </w:p>
        </w:tc>
        <w:tc>
          <w:tcPr/>
          <w:p>
            <w:pPr>
              <w:pStyle w:val="Compact"/>
              <w:jc w:val="left"/>
            </w:pPr>
            <w:r>
              <w:t xml:space="preserve">the larger distance from the midpoint CPIV to either endpoint of the endpoint range is at most the tolerance</w:t>
            </w:r>
          </w:p>
        </w:tc>
      </w:tr>
      <w:tr>
        <w:tc>
          <w:tcPr/>
          <w:p>
            <w:pPr>
              <w:pStyle w:val="Compact"/>
              <w:jc w:val="left"/>
            </w:pPr>
            <w:r>
              <w:t xml:space="preserve">Sign band</w:t>
            </w:r>
          </w:p>
        </w:tc>
        <w:tc>
          <w:tcPr/>
          <w:p>
            <w:pPr>
              <w:pStyle w:val="Compact"/>
              <w:jc w:val="left"/>
            </w:pPr>
            <w:r>
              <w:t xml:space="preserve">0.05 percentage points; the sign-disagreement count omits truths smaller in magnitude than the band</w:t>
            </w:r>
          </w:p>
        </w:tc>
      </w:tr>
      <w:tr>
        <w:tc>
          <w:tcPr/>
          <w:p>
            <w:pPr>
              <w:pStyle w:val="Compact"/>
              <w:jc w:val="left"/>
            </w:pPr>
            <w:r>
              <w:t xml:space="preserve">Perturbation set</w:t>
            </w:r>
          </w:p>
        </w:tc>
        <w:tc>
          <w:tcPr/>
          <w:p>
            <w:pPr>
              <w:pStyle w:val="Compact"/>
              <w:jc w:val="left"/>
            </w:pPr>
            <w:r>
              <w:t xml:space="preserve">endpoint widened by half a tick; spot +1 bp; rate +5 bp; spot timestamp −3 s; resolution scale halved to 0.5 tick; synchronization tolerance relaxed to 5 s</w:t>
            </w:r>
          </w:p>
        </w:tc>
      </w:tr>
      <w:tr>
        <w:tc>
          <w:tcPr/>
          <w:p>
            <w:pPr>
              <w:pStyle w:val="Compact"/>
              <w:jc w:val="left"/>
            </w:pPr>
            <w:r>
              <w:t xml:space="preserve">Period split</w:t>
            </w:r>
          </w:p>
        </w:tc>
        <w:tc>
          <w:tcPr/>
          <w:p>
            <w:pPr>
              <w:pStyle w:val="Compact"/>
              <w:jc w:val="left"/>
            </w:pPr>
            <w:r>
              <w:t xml:space="preserve">primary = days 0–14, holdout = days 15–29</w:t>
            </w:r>
          </w:p>
        </w:tc>
      </w:tr>
      <w:tr>
        <w:tc>
          <w:tcPr/>
          <w:p>
            <w:pPr>
              <w:pStyle w:val="Compact"/>
              <w:jc w:val="left"/>
            </w:pPr>
            <w:r>
              <w:t xml:space="preserve">Inference unit</w:t>
            </w:r>
          </w:p>
        </w:tc>
        <w:tc>
          <w:tcPr/>
          <w:p>
            <w:pPr>
              <w:pStyle w:val="Compact"/>
              <w:jc w:val="left"/>
            </w:pPr>
            <w:r>
              <w:t xml:space="preserve">underlying-day block, 2 000 resamples, seed 20261022</w:t>
            </w:r>
          </w:p>
        </w:tc>
      </w:tr>
    </w:tbl>
    <w:p>
      <w:pPr>
        <w:pStyle w:val="BodyText"/>
      </w:pPr>
      <w:r>
        <w:rPr>
          <w:i/>
          <w:iCs/>
        </w:rPr>
        <w:t xml:space="preserve">Note: every value is declared in the addendum, dated 22 October 2026, the same day as the sweep manifest; Section 5.1 gives the provenance.</w:t>
      </w:r>
    </w:p>
    <w:bookmarkEnd w:id="10"/>
    <w:bookmarkStart w:id="11" w:name="Xc49dc8be9c88b324c89c9dd5705b2ab83f85563"/>
    <w:p>
      <w:pPr>
        <w:pStyle w:val="Heading2"/>
      </w:pPr>
      <w:r>
        <w:t xml:space="preserve">Appendix A. The protocol and the instrument in one page</w:t>
      </w:r>
    </w:p>
    <w:p>
      <w:pPr>
        <w:pStyle w:val="FirstParagraph"/>
      </w:pPr>
      <w:r>
        <w:rPr>
          <w:b/>
          <w:bCs/>
        </w:rPr>
        <w:t xml:space="preserve">A.1 Stages.</w:t>
      </w:r>
      <w:r>
        <w:t xml:space="preserve"> </w:t>
      </w:r>
      <w:r>
        <w:t xml:space="preserve">Contract match → timing check → quote validity → input</w:t>
      </w:r>
      <w:r>
        <w:t xml:space="preserve"> </w:t>
      </w:r>
      <w:r>
        <w:t xml:space="preserve">validity → midpoint bounds → endpoint inversion → time-value resolution →</w:t>
      </w:r>
      <w:r>
        <w:t xml:space="preserve"> </w:t>
      </w:r>
      <w:r>
        <w:t xml:space="preserve">finite-shock resolution → tolerance certification.</w:t>
      </w:r>
    </w:p>
    <w:p>
      <w:pPr>
        <w:pStyle w:val="BodyText"/>
      </w:pPr>
      <w:r>
        <w:rPr>
          <w:b/>
          <w:bCs/>
        </w:rPr>
        <w:t xml:space="preserve">A.2 Statuses.</w:t>
      </w:r>
      <w:r>
        <w:t xml:space="preserve"> </w:t>
      </w:r>
      <w:r>
        <w:t xml:space="preserve">Seven terminal statuses, mutually exclusive, summing to</w:t>
      </w:r>
      <w:r>
        <w:t xml:space="preserve"> </w:t>
      </w:r>
      <w:r>
        <w:t xml:space="preserve">the attempted count. Reason codes stored separately and never substituted</w:t>
      </w:r>
      <w:r>
        <w:t xml:space="preserve"> </w:t>
      </w:r>
      <w:r>
        <w:t xml:space="preserve">for a status.</w:t>
      </w:r>
    </w:p>
    <w:p>
      <w:pPr>
        <w:pStyle w:val="BodyText"/>
      </w:pPr>
      <w:r>
        <w:rPr>
          <w:b/>
          <w:bCs/>
        </w:rPr>
        <w:t xml:space="preserve">A.3 Inversion.</w:t>
      </w:r>
      <w:r>
        <w:t xml:space="preserve"> </w:t>
      </w:r>
      <w:r>
        <w:t xml:space="preserve">European Black–Scholes–Merton for both legs, decimal IV</w:t>
      </w:r>
      <w:r>
        <w:t xml:space="preserve"> </w:t>
      </w:r>
      <w:r>
        <w:t xml:space="preserve">in [10⁻⁸, 5], bisection with at most 64 iterations, no clipping, near-bound</w:t>
      </w:r>
      <w:r>
        <w:t xml:space="preserve"> </w:t>
      </w:r>
      <w:r>
        <w:t xml:space="preserve">guard at 10⁻¹⁰.</w:t>
      </w:r>
    </w:p>
    <w:p>
      <w:pPr>
        <w:pStyle w:val="BodyText"/>
      </w:pPr>
      <w:r>
        <w:rPr>
          <w:b/>
          <w:bCs/>
        </w:rPr>
        <w:t xml:space="preserve">A.4 Resolution.</w:t>
      </w:r>
      <w:r>
        <w:t xml:space="preserve"> </w:t>
      </w:r>
      <w:r>
        <w:t xml:space="preserve">Time value of at least the resolution scale; valid roots</w:t>
      </w:r>
      <w:r>
        <w:t xml:space="preserve"> </w:t>
      </w:r>
      <w:r>
        <w:t xml:space="preserve">at both shocks of one tick applied to each leg’s midpoint; a finite endpoint range over the four bid–ask</w:t>
      </w:r>
      <w:r>
        <w:t xml:space="preserve"> </w:t>
      </w:r>
      <w:r>
        <w:t xml:space="preserve">combinations, one-sided where an endpoint has no root, never imputed.</w:t>
      </w:r>
    </w:p>
    <w:p>
      <w:pPr>
        <w:pStyle w:val="BodyText"/>
      </w:pPr>
      <w:r>
        <w:rPr>
          <w:b/>
          <w:bCs/>
        </w:rPr>
        <w:t xml:space="preserve">A.5 Certification.</w:t>
      </w:r>
      <w:r>
        <w:t xml:space="preserve"> </w:t>
      </w:r>
      <w:r>
        <w:t xml:space="preserve">A pair is certified when its displacement, the larger of the distances from the midpoint CPIV to the two endpoints of its endpoint range, is at most the declared tolerance, and the three preceding rules of Section 3.3 are also satisfied.</w:t>
      </w:r>
    </w:p>
    <w:p>
      <w:pPr>
        <w:pStyle w:val="BodyText"/>
      </w:pPr>
      <w:r>
        <w:rPr>
          <w:b/>
          <w:bCs/>
        </w:rPr>
        <w:t xml:space="preserve">A.6 Inference.</w:t>
      </w:r>
      <w:r>
        <w:t xml:space="preserve"> </w:t>
      </w:r>
      <w:r>
        <w:t xml:space="preserve">Underlying-day block bootstrap, 2 000 resamples, seed</w:t>
      </w:r>
      <w:r>
        <w:t xml:space="preserve"> </w:t>
      </w:r>
      <w:r>
        <w:t xml:space="preserve">20261022. The same block device is used for the null in the selection</w:t>
      </w:r>
      <w:r>
        <w:t xml:space="preserve"> </w:t>
      </w:r>
      <w:r>
        <w:t xml:space="preserve">frontier.</w:t>
      </w:r>
    </w:p>
    <w:p>
      <w:pPr>
        <w:pStyle w:val="BodyText"/>
      </w:pPr>
      <w:r>
        <w:rPr>
          <w:b/>
          <w:bCs/>
        </w:rPr>
        <w:t xml:space="preserve">A.7 Generator.</w:t>
      </w:r>
      <w:r>
        <w:t xml:space="preserve"> </w:t>
      </w:r>
      <w:r>
        <w:t xml:space="preserve">Two underlyings at spot 100 and 250; 30 trading days</w:t>
      </w:r>
      <w:r>
        <w:t xml:space="preserve"> </w:t>
      </w:r>
      <w:r>
        <w:t xml:space="preserve">each; maturities of 14, 30 and 60 days; strikes at 90 %, 95 %, 100 %, 105 %</w:t>
      </w:r>
      <w:r>
        <w:t xml:space="preserve"> </w:t>
      </w:r>
      <w:r>
        <w:t xml:space="preserve">and 110 % of spot; a continuously compounded rate of 5 % and no dividend</w:t>
      </w:r>
      <w:r>
        <w:t xml:space="preserve"> </w:t>
      </w:r>
      <w:r>
        <w:t xml:space="preserve">yield; base volatility of 22 % with a term slope of +0.12 percentage points</w:t>
      </w:r>
      <w:r>
        <w:t xml:space="preserve"> </w:t>
      </w:r>
      <w:r>
        <w:t xml:space="preserve">per day and a log-moneyness skew of −1.10; a tick of 0.01, a half-spread of</w:t>
      </w:r>
      <w:r>
        <w:t xml:space="preserve"> </w:t>
      </w:r>
      <w:r>
        <w:t xml:space="preserve">one tick, one extra tick in the wings and at the short end, doubled on every</w:t>
      </w:r>
      <w:r>
        <w:t xml:space="preserve"> </w:t>
      </w:r>
      <w:r>
        <w:t xml:space="preserve">seventh session; timestamp jitter of ±0.35 s; and injected defects at</w:t>
      </w:r>
      <w:r>
        <w:t xml:space="preserve"> </w:t>
      </w:r>
      <w:r>
        <w:t xml:space="preserve">declared rates — stale quotes 1.5 %, crossed quotes 0.8 %, out-of-bounds</w:t>
      </w:r>
      <w:r>
        <w:t xml:space="preserve"> </w:t>
      </w:r>
      <w:r>
        <w:t xml:space="preserve">quotes 0.5 %, contract mismatches 0.5 % and missing legs 0.4 %. The put leg</w:t>
      </w:r>
      <w:r>
        <w:t xml:space="preserve"> </w:t>
      </w:r>
      <w:r>
        <w:t xml:space="preserve">is priced on an 800-step binomial lattice, so the truth carries a genuine</w:t>
      </w:r>
      <w:r>
        <w:t xml:space="preserve"> </w:t>
      </w:r>
      <w:r>
        <w:t xml:space="preserve">early-exercise premium.</w:t>
      </w:r>
    </w:p>
    <w:bookmarkEnd w:id="11"/>
    <w:bookmarkStart w:id="12" w:name="Xb936cce5df46ebbd0dbbf3e1d0cc6263a0333dd"/>
    <w:p>
      <w:pPr>
        <w:pStyle w:val="Heading2"/>
      </w:pPr>
      <w:r>
        <w:t xml:space="preserve">Appendix B. The replication design in one page</w:t>
      </w:r>
    </w:p>
    <w:p>
      <w:pPr>
        <w:pStyle w:val="FirstParagraph"/>
      </w:pPr>
      <w:r>
        <w:rPr>
          <w:b/>
          <w:bCs/>
        </w:rPr>
        <w:t xml:space="preserve">B.1 Seeds.</w:t>
      </w:r>
      <w:r>
        <w:t xml:space="preserve"> </w:t>
      </w:r>
      <w:r>
        <w:t xml:space="preserve">23 replication seeds, 20261022 + 7919k for k = 1 … 23, plus</w:t>
      </w:r>
      <w:r>
        <w:t xml:space="preserve"> </w:t>
      </w:r>
      <w:r>
        <w:t xml:space="preserve">the development draw at k = 0, excluded from every tally except R3 and R6, which are computed on its seed.</w:t>
      </w:r>
    </w:p>
    <w:p>
      <w:pPr>
        <w:pStyle w:val="BodyText"/>
      </w:pPr>
      <w:r>
        <w:rPr>
          <w:b/>
          <w:bCs/>
        </w:rPr>
        <w:t xml:space="preserve">B.2 Specifications.</w:t>
      </w:r>
      <w:r>
        <w:t xml:space="preserve"> </w:t>
      </w:r>
      <w:r>
        <w:t xml:space="preserve">17, one factor at a time from the base market: nine</w:t>
      </w:r>
      <w:r>
        <w:t xml:space="preserve"> </w:t>
      </w:r>
      <w:r>
        <w:t xml:space="preserve">market specifications, seven protocol specifications and the base itself.</w:t>
      </w:r>
    </w:p>
    <w:p>
      <w:pPr>
        <w:pStyle w:val="BodyText"/>
      </w:pPr>
      <w:r>
        <w:rPr>
          <w:b/>
          <w:bCs/>
        </w:rPr>
        <w:t xml:space="preserve">B.3 Frontier.</w:t>
      </w:r>
      <w:r>
        <w:t xml:space="preserve"> </w:t>
      </w:r>
      <w:r>
        <w:t xml:space="preserve">2 000 Monte Carlo trials at each of seven evaluation points</w:t>
      </w:r>
      <w:r>
        <w:t xml:space="preserve"> </w:t>
      </w:r>
      <w:r>
        <w:t xml:space="preserve">— 0.05, 0.075, 0.10, 0.15, 0.20, 0.25 and 0.50 percentage points — against</w:t>
      </w:r>
      <w:r>
        <w:t xml:space="preserve"> </w:t>
      </w:r>
      <w:r>
        <w:t xml:space="preserve">a pair null (uniform without replacement) and a day-block null (whole</w:t>
      </w:r>
      <w:r>
        <w:t xml:space="preserve"> </w:t>
      </w:r>
      <w:r>
        <w:t xml:space="preserve">underlying-days with replacement, partial final block taken at random).</w:t>
      </w:r>
      <w:r>
        <w:t xml:space="preserve"> </w:t>
      </w:r>
      <w:r>
        <w:t xml:space="preserve">Add-one p-values. The tolerance grid of Table S2 is 0.05, 0.10 and 0.25</w:t>
      </w:r>
      <w:r>
        <w:t xml:space="preserve"> </w:t>
      </w:r>
      <w:r>
        <w:t xml:space="preserve">percentage points. The points 0.075, 0.15 and 0.20 are added only so the</w:t>
      </w:r>
      <w:r>
        <w:t xml:space="preserve"> </w:t>
      </w:r>
      <w:r>
        <w:t xml:space="preserve">curve can be drawn. The point 0.50 is also a tolerance specification in the</w:t>
      </w:r>
      <w:r>
        <w:t xml:space="preserve"> </w:t>
      </w:r>
      <w:r>
        <w:t xml:space="preserve">sweep (Section 5.3). Certification and the reported coverages use the grid</w:t>
      </w:r>
      <w:r>
        <w:t xml:space="preserve"> </w:t>
      </w:r>
      <w:r>
        <w:t xml:space="preserve">alone, and the decision rules of the addendum read the frontier at the</w:t>
      </w:r>
      <w:r>
        <w:t xml:space="preserve"> </w:t>
      </w:r>
      <w:r>
        <w:t xml:space="preserve">primary tolerance only, 0.10 pp. Table 3 shows the grid points that certify plus two</w:t>
      </w:r>
      <w:r>
        <w:t xml:space="preserve"> </w:t>
      </w:r>
      <w:r>
        <w:t xml:space="preserve">intermediate points; the other rows are in the released artifact.</w:t>
      </w:r>
    </w:p>
    <w:p>
      <w:pPr>
        <w:pStyle w:val="BodyText"/>
      </w:pPr>
      <w:r>
        <w:rPr>
          <w:b/>
          <w:bCs/>
        </w:rPr>
        <w:t xml:space="preserve">B.4 Tally.</w:t>
      </w:r>
      <w:r>
        <w:t xml:space="preserve"> </w:t>
      </w:r>
      <w:r>
        <w:rPr>
          <w:rStyle w:val="VerbatimChar"/>
        </w:rPr>
        <w:t xml:space="preserve">verdict.py</w:t>
      </w:r>
      <w:r>
        <w:t xml:space="preserve"> </w:t>
      </w:r>
      <w:r>
        <w:t xml:space="preserve">encodes the six declared rules and reads only the sweep and study outputs.</w:t>
      </w:r>
    </w:p>
    <w:p>
      <w:pPr>
        <w:pStyle w:val="BodyText"/>
      </w:pPr>
      <w:r>
        <w:rPr>
          <w:b/>
          <w:bCs/>
        </w:rPr>
        <w:t xml:space="preserve">B.5 Artifacts.</w:t>
      </w:r>
      <w:r>
        <w:t xml:space="preserve"> </w:t>
      </w:r>
      <w:r>
        <w:t xml:space="preserve">The run manifests record the configuration, the seed, the</w:t>
      </w:r>
      <w:r>
        <w:t xml:space="preserve"> </w:t>
      </w:r>
      <w:r>
        <w:t xml:space="preserve">environment and the output hashes of every run reported in the article. The</w:t>
      </w:r>
      <w:r>
        <w:t xml:space="preserve"> </w:t>
      </w:r>
      <w:r>
        <w:t xml:space="preserve">per-draw sweep outputs, the specification grid and the rule tally are</w:t>
      </w:r>
      <w:r>
        <w:t xml:space="preserve"> </w:t>
      </w:r>
      <w:r>
        <w:t xml:space="preserve">released as aggregate CSV and JSON files; no market data is included because</w:t>
      </w:r>
      <w:r>
        <w:t xml:space="preserve"> </w:t>
      </w:r>
      <w:r>
        <w:t xml:space="preserve">none was used.</w:t>
      </w:r>
    </w:p>
    <w:bookmarkEnd w:id="12"/>
    <w:bookmarkEnd w:id="13"/>
    <w:sectPr>
      <w:pgSz w:w="11906" w:h="16838"/>
      <w:pgMar w:top="1418" w:right="1418" w:bottom="1418" w:left="1418" w:header="709" w:footer="709"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auto" w:space="0" w:sz="8" w:val="single"/>
        <w:bottom w:color="auto" w:space="0" w:sz="8" w:val="single"/>
        <w:insideH w:color="auto" w:space="0" w:sz="4" w:val="single"/>
      </w:tblBorders>
      <w:tblInd w:type="dxa" w:w="0"/>
      <w:tblCellMar>
        <w:top w:type="dxa" w:w="0"/>
        <w:left w:type="dxa" w:w="108"/>
        <w:bottom w:type="dxa" w:w="0"/>
        <w:right w:type="dxa" w:w="108"/>
      </w:tblCellMar>
    </w:tblPr>
    <w:tblStylePr w:type="firstRow">
      <w:tcPr>
        <w:tcBorders>
          <w:bottom w:val="single"/>
        </w:tcBorders>
        <w:vAlign w:val="bottom"/>
      </w:tcPr>
    </w:tblStylePr>
    <w:rPr>
      <w:sz w:val="18"/>
      <w:szCs w:val="18"/>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2026-10-31T08:16:40Z</dcterms:created>
  <dcterms:modified xsi:type="dcterms:W3CDTF">2026-10-31T08:16:40Z</dcterms:modified>
</cp:coreProperties>
</file>

<file path=docProps/custom.xml><?xml version="1.0" encoding="utf-8"?>
<Properties xmlns="http://schemas.openxmlformats.org/officeDocument/2006/custom-properties" xmlns:vt="http://schemas.openxmlformats.org/officeDocument/2006/docPropsVTypes"/>
</file>