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design addendum</w:t>
            </w:r>
          </w:p>
        </w:tc>
      </w:tr>
      <w:tr>
        <w:tc>
          <w:tcPr/>
          <w:p>
            <w:pPr>
              <w:pStyle w:val="Compact"/>
              <w:jc w:val="left"/>
            </w:pPr>
            <w:r>
              <w:t xml:space="preserve">Sign band</w:t>
            </w:r>
          </w:p>
        </w:tc>
        <w:tc>
          <w:tcPr/>
          <w:p>
            <w:pPr>
              <w:pStyle w:val="Compact"/>
              <w:jc w:val="left"/>
            </w:pPr>
            <w:r>
              <w:t xml:space="preserve">0.05 percentage points</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design addendum. The addendum’s first version in the repository history is dated after the replication sweep outputs were generated; this paper does not claim that the values were fixed before those outputs were read (Section 5.1).</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under both declared shocks;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The endpoint range of the CPIV is narrower than the</w:t>
      </w:r>
      <w:r>
        <w:t xml:space="preserve"> </w:t>
      </w:r>
      <w:r>
        <w:t xml:space="preserve">declared tolerance.</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which is excluded from every tally.</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That axis contains the protocol tolerance grid of Table S2</w:t>
      </w:r>
      <w:r>
        <w:t xml:space="preserve"> </w:t>
      </w:r>
      <w:r>
        <w:t xml:space="preserve">plus intermediate points so the curve can be drawn; it is an evaluation</w:t>
      </w:r>
      <w:r>
        <w:t xml:space="preserve"> </w:t>
      </w:r>
      <w:r>
        <w:t xml:space="preserve">axis, not the grid. The grid itself is 0.05, 0.10 and 0.25 percentage points,</w:t>
      </w:r>
      <w:r>
        <w:t xml:space="preserve"> </w:t>
      </w:r>
      <w:r>
        <w:t xml:space="preserve">and the 0.50-point evaluation is an additional tolerance specification used</w:t>
      </w:r>
      <w:r>
        <w:t xml:space="preserve"> </w:t>
      </w:r>
      <w:r>
        <w:t xml:space="preserve">in the sweep (Section 5.3), not part of the grid. Certification and</w:t>
      </w:r>
      <w:r>
        <w:t xml:space="preserve"> </w:t>
      </w:r>
      <w:r>
        <w:t xml:space="preserve">the reported coverages are governed by the grid alone, and the decision</w:t>
      </w:r>
      <w:r>
        <w:t xml:space="preserve"> </w:t>
      </w:r>
      <w:r>
        <w:t xml:space="preserve">rules of the design addendum read the frontier at the primary</w:t>
      </w:r>
      <w:r>
        <w:t xml:space="preserve"> </w:t>
      </w:r>
      <w:r>
        <w:t xml:space="preserve">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rules of the design addendum and reads only the replication-seed records of the sweep outputs. R3</w:t>
      </w:r>
      <w:r>
        <w:t xml:space="preserve"> </w:t>
      </w:r>
      <w:r>
        <w:t xml:space="preserve">and R6 are aggregated over the 23 seeds before they are tested: R3 uses each</w:t>
      </w:r>
      <w:r>
        <w:t xml:space="preserve"> </w:t>
      </w:r>
      <w:r>
        <w:t xml:space="preserve">market specification’s mean certified coverage, and R6 uses each perturbation’s</w:t>
      </w:r>
      <w:r>
        <w:t xml:space="preserve"> </w:t>
      </w:r>
      <w:r>
        <w:t xml:space="preserve">mean change in certified coverage. The per-draw reading gives the same outcome</w:t>
      </w:r>
      <w:r>
        <w:t xml:space="preserve"> </w:t>
      </w:r>
      <w:r>
        <w:t xml:space="preserve">for both. The development draw is excluded from the tally.</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2026-10-27T11:02:44Z</dcterms:created>
  <dcterms:modified xsi:type="dcterms:W3CDTF">2026-10-27T11:02:44Z</dcterms:modified>
</cp:coreProperties>
</file>

<file path=docProps/custom.xml><?xml version="1.0" encoding="utf-8"?>
<Properties xmlns="http://schemas.openxmlformats.org/officeDocument/2006/custom-properties" xmlns:vt="http://schemas.openxmlformats.org/officeDocument/2006/docPropsVTypes"/>
</file>