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(which includes the certified set) and the certified set</w:t>
      </w:r>
      <w:r>
        <w:t xml:space="preserve"> </w:t>
      </w:r>
      <w:r>
        <w:t xml:space="preserve">against the 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pre-registered rule tally over the 23 replication draws,</w:t>
      </w:r>
      <w:r>
        <w:t xml:space="preserve"> </w:t>
      </w:r>
      <w:r>
        <w:t xml:space="preserve">reporting each of the six rules as passed, failed or not evaluated.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 every attempted pair one terminal status. The protocol does not</w:t>
      </w:r>
      <w:r>
        <w:t xml:space="preserve"> </w:t>
      </w:r>
      <w:r>
        <w:t xml:space="preserve">re-estimate the spread: where it and the raw midpoint are both defined they</w:t>
      </w:r>
      <w:r>
        <w:t xml:space="preserve"> </w:t>
      </w:r>
      <w:r>
        <w:t xml:space="preserve">agree exactly, so own-set gains are selection effects. The abstention rule is</w:t>
      </w:r>
      <w:r>
        <w:t xml:space="preserve"> </w:t>
      </w:r>
      <w:r>
        <w:t xml:space="preserve">tested against size-matched random subsets under a pair null and a day-block</w:t>
      </w:r>
      <w:r>
        <w:t xml:space="preserve"> </w:t>
      </w:r>
      <w:r>
        <w:t xml:space="preserve">null. With no licensed quote data, the protocol is validated on a synthetic</w:t>
      </w:r>
      <w:r>
        <w:t xml:space="preserve"> </w:t>
      </w:r>
      <w:r>
        <w:t xml:space="preserve">instrument whose true spread is defined before any quote exists. In all 23</w:t>
      </w:r>
      <w:r>
        <w:t xml:space="preserve"> </w:t>
      </w:r>
      <w:r>
        <w:t xml:space="preserve">replication draws the certified set’s error is below the day-block null mean,</w:t>
      </w:r>
      <w:r>
        <w:t xml:space="preserve"> </w:t>
      </w:r>
      <w:r>
        <w:t xml:space="preserve">with p below 0.05 in each. Five of the six declared rules pass on the</w:t>
      </w:r>
      <w:r>
        <w:t xml:space="preserve"> </w:t>
      </w:r>
      <w:r>
        <w:t xml:space="preserve">replication draws. R3, coverage stability across market specifications, fails:</w:t>
      </w:r>
      <w:r>
        <w:t xml:space="preserve"> </w:t>
      </w:r>
      <w:r>
        <w:t xml:space="preserve">coverage is zero in three of ten specifications in all 23 draws. Coverage is a</w:t>
      </w:r>
      <w:r>
        <w:t xml:space="preserve"> </w:t>
      </w:r>
      <w:r>
        <w:t xml:space="preserve">property of the market it meets, not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Coverage is zero on wide-quote and coarse-tick markets in all 23 draws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Rule timing relative to the sweep is not established (Section 5.1)</w:t>
      </w:r>
    </w:p>
    <w:bookmarkEnd w:id="12"/>
    <w:bookmarkStart w:id="69"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That has a consequence that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 reported subset of</w:t>
      </w:r>
      <w:r>
        <w:t xml:space="preserve"> </w:t>
      </w:r>
      <w:r>
        <w:t xml:space="preserve">the pairs that are actually identified is more useful than a reported set</w:t>
      </w:r>
      <w:r>
        <w:t xml:space="preserve"> </w:t>
      </w:r>
      <w:r>
        <w:t xml:space="preserve">that silently includes pairs that are not, but an improvement delivered by</w:t>
      </w:r>
      <w:r>
        <w:t xml:space="preserve"> </w:t>
      </w:r>
      <w:r>
        <w:t xml:space="preserve">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and that is not currently possible. No licensed product covering the required data was available at the time of writing. The data gate is deliberately closed: no market-data path will run without a written licence record permitting publication of the aggregate outputs. No enquiry to the two candidate vendors has been sent, so no licence has been granted. Options market data is not freely redistributable, and tables derived from it cannot be published.</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the licensed run, and the paper does not</w:t>
      </w:r>
      <w:r>
        <w:t xml:space="preserve"> </w:t>
      </w:r>
      <w:r>
        <w:t xml:space="preserve">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pre-registered synthetic ground-truth benchmark with a rule tally.</w:t>
      </w:r>
      <w:r>
        <w:t xml:space="preserve"> </w:t>
      </w:r>
      <w:r>
        <w:t xml:space="preserve">The generator, settings, seeds, specification grid, null construction and</w:t>
      </w:r>
      <w:r>
        <w:t xml:space="preserve"> </w:t>
      </w:r>
      <w:r>
        <w:t xml:space="preserve">decision rules are declared in a pre-registration addendum, and the tally</w:t>
      </w:r>
      <w:r>
        <w:t xml:space="preserve"> </w:t>
      </w:r>
      <w:r>
        <w:t xml:space="preserve">reports which rules passed, which failed and which could not be evaluated on</w:t>
      </w:r>
      <w:r>
        <w:t xml:space="preserve"> </w:t>
      </w:r>
      <w:r>
        <w:t xml:space="preserve">the replication seeds,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pre-registration:</w:t>
      </w:r>
      <w:r>
        <w:t xml:space="preserve"> </w:t>
      </w:r>
      <w:r>
        <w:t xml:space="preserve">the raw midpoint CPIV, with no filter beyond the existence of a finite root;</w:t>
      </w:r>
      <w:r>
        <w:t xml:space="preserve"> </w:t>
      </w:r>
      <w:r>
        <w:t xml:space="preserve">the bound-filtered midpoint CPIV; the bid–ask endpoint interval, reported as</w:t>
      </w:r>
      <w:r>
        <w:t xml:space="preserve"> </w:t>
      </w:r>
      <w:r>
        <w:t xml:space="preserve">an interval rather than a point; the parity residual, labelled throughout as</w:t>
      </w:r>
      <w:r>
        <w:t xml:space="preserve"> </w:t>
      </w:r>
      <w:r>
        <w:t xml:space="preserve">algebraically dependent on the CPIV and so not an independent validation;</w:t>
      </w:r>
      <w:r>
        <w:t xml:space="preserve"> </w:t>
      </w:r>
      <w:r>
        <w:t xml:space="preserve">and the abstention-aware protocol itself, with its certified subset, its</w:t>
      </w:r>
      <w:r>
        <w:t xml:space="preserve"> </w:t>
      </w:r>
      <w:r>
        <w:t xml:space="preserve">abstentions and its funnel.</w:t>
      </w:r>
      <w:r>
        <w:t xml:space="preserve"> </w:t>
      </w:r>
      <w:r>
        <w:t xml:space="preserve">Table 2 reports the raw midpoint, the bound-filtered midpoint and the protocol.</w:t>
      </w:r>
      <w:r>
        <w:t xml:space="preserve"> </w:t>
      </w:r>
      <w:r>
        <w:t xml:space="preserve">The endpoint interval and the parity residual have no summary in this version’s</w:t>
      </w:r>
      <w:r>
        <w:t xml:space="preserve"> </w:t>
      </w:r>
      <w:r>
        <w:t xml:space="preserve">study outputs, so no claim is made about them.</w:t>
      </w:r>
      <w:r>
        <w:t xml:space="preserve"> </w:t>
      </w:r>
      <w:r>
        <w:t xml:space="preserve">The paper’s central comparison is between the fifth and the first, in two forms</w:t>
      </w:r>
      <w:r>
        <w:t xml:space="preserve"> </w:t>
      </w:r>
      <w:r>
        <w:t xml:space="preserve">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and let its own-set mean</w:t>
      </w:r>
      <w:r>
        <w:t xml:space="preserve"> </w:t>
      </w:r>
      <w:r>
        <w:t xml:space="preserve">absolute error be the statistic. The natural null is that statistic’s</w:t>
      </w:r>
      <w:r>
        <w:t xml:space="preserve"> </w:t>
      </w:r>
      <w:r>
        <w:t xml:space="preserve">distribution over size-</w:t>
      </w:r>
      <w:r>
        <w:rPr>
          <w:i/>
          <w:iCs/>
        </w:rPr>
        <w:t xml:space="preserve">k</w:t>
      </w:r>
      <w:r>
        <w:t xml:space="preserve"> </w:t>
      </w:r>
      <w:r>
        <w:t xml:space="preserve">subsets drawn at random from the same</w:t>
      </w:r>
      <w:r>
        <w:t xml:space="preserve"> </w:t>
      </w:r>
      <w:r>
        <w:rPr>
          <w:i/>
          <w:iCs/>
        </w:rPr>
        <w:t xml:space="preserve">n</w:t>
      </w:r>
      <w:r>
        <w:t xml:space="preserve"> </w:t>
      </w:r>
      <w:r>
        <w:t xml:space="preserve">pairs.</w:t>
      </w:r>
      <w:r>
        <w:t xml:space="preserve"> </w:t>
      </w:r>
      <w:r>
        <w:t xml:space="preserve">Two nulls are constructed, and the 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favour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structure</w:t>
      </w:r>
      <w:r>
        <w:t xml:space="preserve"> </w:t>
      </w:r>
      <w:r>
        <w:t xml:space="preserve">the study’s own confidence intervals respect? A protocol that beats the pair</w:t>
      </w:r>
      <w:r>
        <w:t xml:space="preserve"> </w:t>
      </w:r>
      <w:r>
        <w:t xml:space="preserve">null but not the day-block null owes its advantage to the day’s overall quote</w:t>
      </w:r>
      <w:r>
        <w:t xml:space="preserve"> </w:t>
      </w:r>
      <w:r>
        <w:t xml:space="preserve">quality, not to its own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affects the 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endpoint</w:t>
      </w:r>
      <w:r>
        <w:t xml:space="preserve"> </w:t>
      </w:r>
      <w:r>
        <w:t xml:space="preserve">interval of the CPIV to be narrower than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synchronisation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Three resolution rules must all be satisfied. Each asks whether the</w:t>
      </w:r>
      <w:r>
        <w:t xml:space="preserve"> </w:t>
      </w:r>
      <w:r>
        <w:rPr>
          <w:i/>
          <w:iCs/>
        </w:rPr>
        <w:t xml:space="preserve">market</w:t>
      </w:r>
      <w:r>
        <w:t xml:space="preserve"> </w:t>
      </w:r>
      <w:r>
        <w:t xml:space="preserve">says something, not 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are applied to the underlying, and the pair must produce valid roots</w:t>
      </w:r>
      <w:r>
        <w:t xml:space="preserve"> </w:t>
      </w:r>
      <w:r>
        <w:t xml:space="preserve">under both. A pair producing a root under only one sign of shock has not</w:t>
      </w:r>
      <w:r>
        <w:t xml:space="preserve"> </w:t>
      </w:r>
      <w:r>
        <w:t xml:space="preserve">been shown to 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The pair is</w:t>
      </w:r>
      <w:r>
        <w:t xml:space="preserve"> </w:t>
      </w:r>
      <w:r>
        <w:rPr>
          <w:i/>
          <w:iCs/>
        </w:rPr>
        <w:t xml:space="preserve">certified</w:t>
      </w:r>
      <w:r>
        <w:t xml:space="preserve"> </w:t>
      </w:r>
      <w:r>
        <w:t xml:space="preserve">when the endpoint range of the CPIV is narrower than the declared tolerance,</w:t>
      </w:r>
      <w:r>
        <w:t xml:space="preserve"> </w:t>
      </w:r>
      <w:r>
        <w:rPr>
          <w:i/>
          <w:iCs/>
        </w:rPr>
        <w:t xml:space="preserve">identified but outside tolerance</w:t>
      </w:r>
      <w:r>
        <w:t xml:space="preserve"> </w:t>
      </w:r>
      <w:r>
        <w:t xml:space="preserve">when the range is finite but wider, and</w:t>
      </w:r>
      <w:r>
        <w:t xml:space="preserve"> </w:t>
      </w:r>
      <w:r>
        <w:rPr>
          <w:i/>
          <w:iCs/>
        </w:rPr>
        <w:t xml:space="preserve">unresolved</w:t>
      </w:r>
      <w:r>
        <w:t xml:space="preserve"> </w:t>
      </w:r>
      <w:r>
        <w:t xml:space="preserve">when the range cannot be formed.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three resolution rules are satisfied and the</w:t>
      </w:r>
      <w:r>
        <w:t xml:space="preserve"> </w:t>
      </w:r>
      <w:r>
        <w:t xml:space="preserve">endpoint range of the CPIV is narrower than the tolerance. The certified set</w:t>
      </w:r>
      <w:r>
        <w:t xml:space="preserve"> </w:t>
      </w:r>
      <w:r>
        <w:t xml:space="preserve">is what the protocol 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minimised.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pre-registration rather than an</w:t>
      </w:r>
      <w:r>
        <w:t xml:space="preserve"> </w:t>
      </w:r>
      <w:r>
        <w:t xml:space="preserve">extension of the results. It is not adopted here, because the licensed run</w:t>
      </w:r>
      <w:r>
        <w:t xml:space="preserve"> </w:t>
      </w:r>
      <w:r>
        <w:t xml:space="preserve">has not fixed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is declared in the addendum as the bridge to the journal’s computational</w:t>
      </w:r>
      <w:r>
        <w:t xml:space="preserve"> </w:t>
      </w:r>
      <w:r>
        <w:t xml:space="preserve">focus: the one place where the protocol’s behaviour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pre-registration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artefact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pre-registration"/>
    <w:p>
      <w:pPr>
        <w:pStyle w:val="Heading2"/>
      </w:pPr>
      <w:r>
        <w:t xml:space="preserve">5. Design and pre-registration</w:t>
      </w:r>
    </w:p>
    <w:bookmarkStart w:id="39" w:name="the-status-of-the-pre-registration"/>
    <w:p>
      <w:pPr>
        <w:pStyle w:val="Heading3"/>
      </w:pPr>
      <w:r>
        <w:t xml:space="preserve">5.1 The status of the pre-registration</w:t>
      </w:r>
    </w:p>
    <w:p>
      <w:pPr>
        <w:pStyle w:val="FirstParagraph"/>
      </w:pPr>
      <w:r>
        <w:t xml:space="preserve">The project’s main pre-registration cannot be frozen, because the data gate</w:t>
      </w:r>
      <w:r>
        <w:t xml:space="preserve"> </w:t>
      </w:r>
      <w:r>
        <w:t xml:space="preserve">is closed and the universe, the sampling rule and the tick convention all</w:t>
      </w:r>
      <w:r>
        <w:t xml:space="preserve"> </w:t>
      </w:r>
      <w:r>
        <w:t xml:space="preserve">depend on a vendor’s schema that does not yet exist. What</w:t>
      </w:r>
      <w:r>
        <w:t xml:space="preserve"> </w:t>
      </w:r>
      <w:r>
        <w:rPr>
          <w:i/>
          <w:iCs/>
        </w:rPr>
        <w:t xml:space="preserve">can</w:t>
      </w:r>
      <w:r>
        <w:t xml:space="preserve"> </w:t>
      </w:r>
      <w:r>
        <w:t xml:space="preserve">be frozen</w:t>
      </w:r>
      <w:r>
        <w:t xml:space="preserve"> </w:t>
      </w:r>
      <w:r>
        <w:t xml:space="preserve">without a licence is everything about the protocol and the instrument, and</w:t>
      </w:r>
      <w:r>
        <w:t xml:space="preserve"> </w:t>
      </w:r>
      <w:r>
        <w:t xml:space="preserve">that is what a separate addendum freezes: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addendum’s first version in the repository history is dated after the</w:t>
      </w:r>
      <w:r>
        <w:t xml:space="preserve"> </w:t>
      </w:r>
      <w:r>
        <w:t xml:space="preserve">replication sweep outputs were generated, so this paper does not claim that</w:t>
      </w:r>
      <w:r>
        <w:t xml:space="preserve"> </w:t>
      </w:r>
      <w:r>
        <w:t xml:space="preserve">the rules were fixed before those outputs were read. The base-market study run</w:t>
      </w:r>
      <w:r>
        <w:t xml:space="preserve"> </w:t>
      </w:r>
      <w:r>
        <w:t xml:space="preserve">before the sweep is declared as the</w:t>
      </w:r>
      <w:r>
        <w:t xml:space="preserve"> </w:t>
      </w:r>
      <w:r>
        <w:rPr>
          <w:i/>
          <w:iCs/>
        </w:rPr>
        <w:t xml:space="preserve">development draw</w:t>
      </w:r>
      <w:r>
        <w:t xml:space="preserve">, is reported in full</w:t>
      </w:r>
      <w:r>
        <w:t xml:space="preserve"> </w:t>
      </w:r>
      <w:r>
        <w:t xml:space="preserve">for transparency, and is excluded from every tally in Section 6.6.</w:t>
      </w:r>
      <w:r>
        <w:t xml:space="preserve"> </w:t>
      </w:r>
      <w:r>
        <w:rPr>
          <w:rStyle w:val="VerbatimChar"/>
        </w:rPr>
        <w:t xml:space="preserve">verdict.py</w:t>
      </w:r>
      <w:r>
        <w:t xml:space="preserve"> </w:t>
      </w:r>
      <w:r>
        <w:t xml:space="preserve">encodes the six rules, reads only the replication-seed records in</w:t>
      </w:r>
      <w:r>
        <w:t xml:space="preserve"> </w:t>
      </w:r>
      <w:r>
        <w:t xml:space="preserve">the sweep outputs and produces the tally in Section 6.6. Two rules need a</w:t>
      </w:r>
      <w:r>
        <w:t xml:space="preserve"> </w:t>
      </w:r>
      <w:r>
        <w:t xml:space="preserve">seed-level aggregation that the addendum does not spell out. R3 uses each</w:t>
      </w:r>
      <w:r>
        <w:t xml:space="preserve"> </w:t>
      </w:r>
      <w:r>
        <w:t xml:space="preserve">specification’s mean coverage over the 23 seeds, and R6 uses each perturbation’s</w:t>
      </w:r>
      <w:r>
        <w:t xml:space="preserve"> </w:t>
      </w:r>
      <w:r>
        <w:t xml:space="preserve">mean change. Both rules give the same outcome under a per-draw reading: R3</w:t>
      </w:r>
      <w:r>
        <w:t xml:space="preserve"> </w:t>
      </w:r>
      <w:r>
        <w:t xml:space="preserve">fails in every draw, and R6’s largest single-draw change,</w:t>
      </w:r>
      <w:r>
        <w:t xml:space="preserve"> </w:t>
      </w:r>
      <w:r>
        <w:t xml:space="preserve">10.1 points, is below its bound. The rules, seeds,</w:t>
      </w:r>
      <w:r>
        <w:t xml:space="preserve"> </w:t>
      </w:r>
      <w:r>
        <w:t xml:space="preserve">specifications and thresholds are unchanged; any change to them would need a</w:t>
      </w:r>
      <w:r>
        <w:t xml:space="preserve"> </w:t>
      </w:r>
      <w:r>
        <w:t xml:space="preserve">new addendum version, sweep and tally. This is the discipline the</w:t>
      </w:r>
      <w:r>
        <w:t xml:space="preserve"> </w:t>
      </w:r>
      <w:r>
        <w:t xml:space="preserve">pre-registration literature argues for in its general form (White, 2000;</w:t>
      </w:r>
      <w:r>
        <w:t xml:space="preserve"> </w:t>
      </w:r>
      <w:r>
        <w:t xml:space="preserve">Harvey et al., 2016; Nosek et al., 2018), applied at the level of a single</w:t>
      </w:r>
      <w:r>
        <w:t xml:space="preserve"> </w:t>
      </w:r>
      <w:r>
        <w:t xml:space="preserve">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frozen in the</w:t>
      </w:r>
      <w:r>
        <w:t xml:space="preserve"> </w:t>
      </w:r>
      <w:r>
        <w:t xml:space="preserve">addendum and listed in Supplementary Table S2: the inversion map, the root</w:t>
      </w:r>
      <w:r>
        <w:t xml:space="preserve"> </w:t>
      </w:r>
      <w:r>
        <w:t xml:space="preserve">bracket, the near-bound guard, the resolution scale, the synchronisation</w:t>
      </w:r>
      <w:r>
        <w:t xml:space="preserve"> </w:t>
      </w:r>
      <w:r>
        <w:t xml:space="preserve">tolerance, the tolerance grid and primary tolerance, the sign band,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synchronisation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Pass condition on the replication seeds</w:t>
            </w:r>
          </w:p>
        </w:tc>
      </w:tr>
      <w:tr>
        <w:tc>
          <w:tcPr/>
          <w:p>
            <w:pPr>
              <w:pStyle w:val="Compact"/>
              <w:jc w:val="left"/>
            </w:pPr>
            <w:r>
              <w:t xml:space="preserve">R1 — selection</w:t>
            </w:r>
          </w:p>
        </w:tc>
        <w:tc>
          <w:tcPr/>
          <w:p>
            <w:pPr>
              <w:pStyle w:val="Compact"/>
              <w:jc w:val="left"/>
            </w:pPr>
            <w:r>
              <w:t xml:space="preserve">The abstention rule selects a set that is genuinely easier to measure, not merely smaller.</w:t>
            </w:r>
          </w:p>
        </w:tc>
        <w:tc>
          <w:tcPr/>
          <w:p>
            <w:pPr>
              <w:pStyle w:val="Compact"/>
              <w:jc w:val="left"/>
            </w:pPr>
            <w:r>
              <w:t xml:space="preserve">Certified error below the day-block null mean in ≥ 16 of 23 draws, and day-block p &lt; 0.05 in ≥ 16 of 23</w:t>
            </w:r>
          </w:p>
        </w:tc>
      </w:tr>
      <w:tr>
        <w:tc>
          <w:tcPr/>
          <w:p>
            <w:pPr>
              <w:pStyle w:val="Compact"/>
              <w:jc w:val="left"/>
            </w:pPr>
            <w:r>
              <w:t xml:space="preserve">R2 — own-set accuracy</w:t>
            </w:r>
          </w:p>
        </w:tc>
        <w:tc>
          <w:tcPr/>
          <w:p>
            <w:pPr>
              <w:pStyle w:val="Compact"/>
              <w:jc w:val="left"/>
            </w:pPr>
            <w:r>
              <w:t xml:space="preserve">The protocol’s own-set error is lower than the raw midpoint’s own-set error.</w:t>
            </w:r>
          </w:p>
        </w:tc>
        <w:tc>
          <w:tcPr/>
          <w:p>
            <w:pPr>
              <w:pStyle w:val="Compact"/>
              <w:jc w:val="left"/>
            </w:pPr>
            <w:r>
              <w:t xml:space="preserve">Own-set MAE(certified) &lt; own-set MAE(raw) in ≥ 16 of 23 draws</w:t>
            </w:r>
          </w:p>
        </w:tc>
      </w:tr>
      <w:tr>
        <w:tc>
          <w:tcPr/>
          <w:p>
            <w:pPr>
              <w:pStyle w:val="Compact"/>
              <w:jc w:val="left"/>
            </w:pPr>
            <w:r>
              <w:t xml:space="preserve">R3 — coverage stability</w:t>
            </w:r>
          </w:p>
        </w:tc>
        <w:tc>
          <w:tcPr/>
          <w:p>
            <w:pPr>
              <w:pStyle w:val="Compact"/>
              <w:jc w:val="left"/>
            </w:pPr>
            <w:r>
              <w:t xml:space="preserve">The certification coverage does not depend on one particular synthetic market.</w:t>
            </w:r>
          </w:p>
        </w:tc>
        <w:tc>
          <w:tcPr/>
          <w:p>
            <w:pPr>
              <w:pStyle w:val="Compact"/>
              <w:jc w:val="left"/>
            </w:pPr>
            <w:r>
              <w:t xml:space="preserve">Across the 10 market specifications, the minimum certified coverage at the primary tolerance is ≥ 50 % of the median coverage</w:t>
            </w:r>
          </w:p>
        </w:tc>
      </w:tr>
      <w:tr>
        <w:tc>
          <w:tcPr/>
          <w:p>
            <w:pPr>
              <w:pStyle w:val="Compact"/>
              <w:jc w:val="left"/>
            </w:pPr>
            <w:r>
              <w:t xml:space="preserve">R4 — tolerance monotonicity</w:t>
            </w:r>
          </w:p>
        </w:tc>
        <w:tc>
          <w:tcPr/>
          <w:p>
            <w:pPr>
              <w:pStyle w:val="Compact"/>
              <w:jc w:val="left"/>
            </w:pPr>
            <w:r>
              <w:t xml:space="preserve">Coverage is non-decreasing in the certification tolerance.</w:t>
            </w:r>
          </w:p>
        </w:tc>
        <w:tc>
          <w:tcPr/>
          <w:p>
            <w:pPr>
              <w:pStyle w:val="Compact"/>
              <w:jc w:val="left"/>
            </w:pPr>
            <w:r>
              <w:t xml:space="preserve">Holds in ≥ 22 of 23 draws</w:t>
            </w:r>
          </w:p>
        </w:tc>
      </w:tr>
      <w:tr>
        <w:tc>
          <w:tcPr/>
          <w:p>
            <w:pPr>
              <w:pStyle w:val="Compact"/>
              <w:jc w:val="left"/>
            </w:pPr>
            <w:r>
              <w:t xml:space="preserve">R5 — period agreement</w:t>
            </w:r>
          </w:p>
        </w:tc>
        <w:tc>
          <w:tcPr/>
          <w:p>
            <w:pPr>
              <w:pStyle w:val="Compact"/>
              <w:jc w:val="left"/>
            </w:pPr>
            <w:r>
              <w:t xml:space="preserve">The primary and holdout periods agree.</w:t>
            </w:r>
          </w:p>
        </w:tc>
        <w:tc>
          <w:tcPr/>
          <w:p>
            <w:pPr>
              <w:pStyle w:val="Compact"/>
              <w:jc w:val="left"/>
            </w:pPr>
            <w:r>
              <w:t xml:space="preserve">Sign of the error reduction agrees in ≥ 16 of 23 draws, and holdout coverage is within 10 percentage points of primary coverage in ≥ 16 of 23</w:t>
            </w:r>
          </w:p>
        </w:tc>
      </w:tr>
      <w:tr>
        <w:tc>
          <w:tcPr/>
          <w:p>
            <w:pPr>
              <w:pStyle w:val="Compact"/>
              <w:jc w:val="left"/>
            </w:pPr>
            <w:r>
              <w:t xml:space="preserve">R6 — perturbation sanity</w:t>
            </w:r>
          </w:p>
        </w:tc>
        <w:tc>
          <w:tcPr/>
          <w:p>
            <w:pPr>
              <w:pStyle w:val="Compact"/>
              <w:jc w:val="left"/>
            </w:pPr>
            <w:r>
              <w:t xml:space="preserve">The perturbation set does not dominate the result.</w:t>
            </w:r>
          </w:p>
        </w:tc>
        <w:tc>
          <w:tcPr/>
          <w:p>
            <w:pPr>
              <w:pStyle w:val="Compact"/>
              <w:jc w:val="left"/>
            </w:pPr>
            <w:r>
              <w:t xml:space="preserve">No single perturbation changes certified coverage by more than 15 percentage points in absolute value</w:t>
            </w:r>
          </w:p>
        </w:tc>
      </w:tr>
    </w:tbl>
    <w:p>
      <w:pPr>
        <w:pStyle w:val="BodyText"/>
      </w:pPr>
      <w:r>
        <w:t xml:space="preserve">Two features of the rules are worth stating. The thresholds are counts of</w:t>
      </w:r>
      <w:r>
        <w:t xml:space="preserve"> </w:t>
      </w:r>
      <w:r>
        <w:t xml:space="preserve">draws, not effect sizes, so the rules are about</w:t>
      </w:r>
      <w:r>
        <w:t xml:space="preserve"> </w:t>
      </w:r>
      <w:r>
        <w:rPr>
          <w:i/>
          <w:iCs/>
        </w:rPr>
        <w:t xml:space="preserve">consistency</w:t>
      </w:r>
      <w:r>
        <w:t xml:space="preserve"> </w:t>
      </w:r>
      <w:r>
        <w:t xml:space="preserve">rather than</w:t>
      </w:r>
      <w:r>
        <w:t xml:space="preserve"> </w:t>
      </w:r>
      <w:r>
        <w:t xml:space="preserve">magnitude: a rule passes when the phenomenon is present in most independent</w:t>
      </w:r>
      <w:r>
        <w:t xml:space="preserve"> </w:t>
      </w:r>
      <w:r>
        <w:t xml:space="preserve">re-draws. And R1 and R2 carry a declared consequence. If either fails, the</w:t>
      </w:r>
      <w:r>
        <w:t xml:space="preserve"> </w:t>
      </w:r>
      <w:r>
        <w:t xml:space="preserve">benchmark shows that abstaining on hard pairs does not buy accuracy, and the</w:t>
      </w:r>
      <w:r>
        <w:t xml:space="preserve"> </w:t>
      </w:r>
      <w:r>
        <w:t xml:space="preserve">paper’s central mechanism claim must be reduced to coverage and stability</w:t>
      </w:r>
      <w:r>
        <w:t xml:space="preserve"> </w:t>
      </w:r>
      <w:r>
        <w:t xml:space="preserve">only. That reduction would bind the abstract, the key messages and the</w:t>
      </w:r>
      <w:r>
        <w:t xml:space="preserve"> </w:t>
      </w:r>
      <w:r>
        <w:t xml:space="preserve">conclusion, and could not be renegotiated afterwards. R3 carries no such</w:t>
      </w:r>
      <w:r>
        <w:t xml:space="preserve"> </w:t>
      </w:r>
      <w:r>
        <w:t xml:space="preserve">consequence.</w:t>
      </w:r>
    </w:p>
    <w:p>
      <w:r>
        <w:pict>
          <v:rect style="width:0;height:1.5pt" o:hralign="center" o:hrstd="t" o:hr="t"/>
        </w:pict>
      </w:r>
    </w:p>
    <w:bookmarkEnd w:id="43"/>
    <w:bookmarkEnd w:id="44"/>
    <w:bookmarkStart w:id="57"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is the first result, because it</w:t>
      </w:r>
      <w:r>
        <w:t xml:space="preserve"> </w:t>
      </w:r>
      <w:r>
        <w:t xml:space="preserve">establishes what the protocol is actually rejecting.</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it is</w:t>
      </w:r>
      <w:r>
        <w:t xml:space="preserve"> </w:t>
      </w:r>
      <w:r>
        <w:t xml:space="preserve">important to be clear about what kind of advantage it is.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The informative comparison is therefore not the one a reader will</w:t>
      </w:r>
      <w:r>
        <w:t xml:space="preserve"> </w:t>
      </w:r>
      <w:r>
        <w:t xml:space="preserve">instinctively make; Section 6.4 makes it.</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not noise around an estimate: it is pairs where the midpoint is not a</w:t>
      </w:r>
      <w:r>
        <w:t xml:space="preserve"> </w:t>
      </w:r>
      <w:r>
        <w:t xml:space="preserve">measurement, and no downstream consumer can tell which.</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protocol’s output is</w:t>
      </w:r>
      <w:r>
        <w:t xml:space="preserve"> </w:t>
      </w:r>
      <w:r>
        <w:t xml:space="preserve">graded, not binary: certified, identified but imprecise, or unresolved.</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 (incl. certified)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errors are absolute errors in percentage points against the benchmark’s defined truth, on each method’s own set. The raw midpoint has a finite root for 889 of the 894 attempted pairs; the pairs without one are the midpoint-stage bound violations of Table 1, so the bound-filtered baseline equals the raw midpoint here. The identified set is smaller because the contract, timing and quote checks and the endpoint stage remove pairs the raw baseline keeps. It includes the certified set.</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 because it is the only</w:t>
      </w:r>
      <w:r>
        <w:t xml:space="preserve"> </w:t>
      </w:r>
      <w:r>
        <w:t xml:space="preserve">result that speaks to the question the protocol poses.</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The rows are grid points plus two intermediate points of the seven-point axis in Supplementary B.3.</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roughly sixty times above the certified error at the primary tolerance.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roughly sixty times above the</w:t>
      </w:r>
      <w:r>
        <w:t xml:space="preserve"> </w:t>
      </w:r>
      <w:r>
        <w:t xml:space="preserve">certified error at the primary tolerance.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favourable one: the rule is picking out pairs</w:t>
      </w:r>
      <w:r>
        <w:t xml:space="preserve"> </w:t>
      </w:r>
      <w:r>
        <w:t xml:space="preserve">that are genuinely easier to measure, which a random selection would not.</w:t>
      </w:r>
      <w:r>
        <w:t xml:space="preserve"> </w:t>
      </w:r>
      <w:r>
        <w:t xml:space="preserve">The sceptical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bl>
    <w:p>
      <w:pPr>
        <w:pStyle w:val="BodyText"/>
      </w:pPr>
      <w:r>
        <w:rPr>
          <w:i/>
          <w:iCs/>
        </w:rPr>
        <w:t xml:space="preserve">Note: each draw is a complete re-draw of the instrument and a complete re-run of the protocol. The development draw is excluded from this table, as the pre-registration requires.</w:t>
      </w:r>
    </w:p>
    <w:p>
      <w:pPr>
        <w:pStyle w:val="BodyText"/>
      </w:pPr>
      <w:r>
        <w:t xml:space="preserve">Median certified coverage is 8.2 %, with a full range of 7.9 % to 10.1 % across the draws: a low yield. The day-block null p-value has a maximum of 0.0005, which is the floor of the test — with 2000 trials the add-one estimator cannot report less than 0.0005 — so the reading is that the selection effect is outside the null in every draw, not that its tail probability is known to five decimal places.</w:t>
      </w:r>
    </w:p>
    <w:bookmarkEnd w:id="52"/>
    <w:bookmarkStart w:id="53" w:name="the-pre-registered-tally"/>
    <w:p>
      <w:pPr>
        <w:pStyle w:val="Heading3"/>
      </w:pPr>
      <w:r>
        <w:t xml:space="preserve">6.6 The pre-registered tally</w:t>
      </w:r>
    </w:p>
    <w:p>
      <w:pPr>
        <w:pStyle w:val="FirstParagraph"/>
      </w:pPr>
      <w:r>
        <w:t xml:space="preserve">The tally (Table 5) is the output of</w:t>
      </w:r>
      <w:r>
        <w:t xml:space="preserve"> </w:t>
      </w:r>
      <w:r>
        <w:rPr>
          <w:rStyle w:val="VerbatimChar"/>
        </w:rPr>
        <w:t xml:space="preserve">verdict.py</w:t>
      </w:r>
      <w:r>
        <w:t xml:space="preserve">, which applies the addendum’s rules to the replication-seed records only. The development draw is excluded. All six rules are evaluated on the 23 replication draws: five pass and R3 fails.</w:t>
      </w:r>
    </w:p>
    <w:p>
      <w:pPr>
        <w:pStyle w:val="BodyText"/>
      </w:pPr>
      <w:r>
        <w:rPr>
          <w:b/>
          <w:bCs/>
        </w:rPr>
        <w:t xml:space="preserve">Table 5. The pre-registered rule tally, 23 replication draws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against the null that respects the within-day</w:t>
      </w:r>
      <w:r>
        <w:t xml:space="preserve"> </w:t>
      </w:r>
      <w:r>
        <w:t xml:space="preserve">dependence of the quotes,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It uses each market specification’s mean certified</w:t>
      </w:r>
      <w:r>
        <w:t xml:space="preserve"> </w:t>
      </w:r>
      <w:r>
        <w:t xml:space="preserve">coverage over the 23 replication seeds. The lowest of these means is</w:t>
      </w:r>
      <w:r>
        <w:t xml:space="preserve"> </w:t>
      </w:r>
      <w:r>
        <w:t xml:space="preserve">0.0 %, the median across specifications is</w:t>
      </w:r>
      <w:r>
        <w:t xml:space="preserve"> </w:t>
      </w:r>
      <w:r>
        <w:t xml:space="preserve">8.4 %, and their ratio is</w:t>
      </w:r>
      <w:r>
        <w:t xml:space="preserve"> </w:t>
      </w:r>
      <w:r>
        <w:t xml:space="preserve">0.00, against a required 0.50. Three</w:t>
      </w:r>
      <w:r>
        <w:t xml:space="preserve"> </w:t>
      </w:r>
      <w:r>
        <w:t xml:space="preserve">specifications certify nothing in any draw: wide_quotes, very_wide_quotes and</w:t>
      </w:r>
      <w:r>
        <w:t xml:space="preserve"> </w:t>
      </w:r>
      <w:r>
        <w:t xml:space="preserve">coarse_tick (Table 6).</w:t>
      </w:r>
    </w:p>
    <w:p>
      <w:pPr>
        <w:pStyle w:val="BodyText"/>
      </w:pPr>
      <w:r>
        <w:rPr>
          <w:b/>
          <w:bCs/>
        </w:rPr>
        <w:t xml:space="preserve">Table 6. Certified coverage across the market specifications, 23 replication draws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Specification</w:t>
            </w:r>
          </w:p>
        </w:tc>
        <w:tc>
          <w:tcPr/>
          <w:p>
            <w:pPr>
              <w:pStyle w:val="Compact"/>
              <w:jc w:val="right"/>
            </w:pPr>
            <w:r>
              <w:t xml:space="preserve">Mean certified coverage</w:t>
            </w:r>
          </w:p>
        </w:tc>
        <w:tc>
          <w:tcPr/>
          <w:p>
            <w:pPr>
              <w:pStyle w:val="Compact"/>
              <w:jc w:val="right"/>
            </w:pPr>
            <w:r>
              <w:t xml:space="preserve">Draws with zero coverage</w:t>
            </w:r>
          </w:p>
        </w:tc>
      </w:tr>
      <w:tr>
        <w:tc>
          <w:tcPr/>
          <w:p>
            <w:pPr>
              <w:pStyle w:val="Compact"/>
              <w:jc w:val="left"/>
            </w:pPr>
            <w:r>
              <w:t xml:space="preserve">base</w:t>
            </w:r>
          </w:p>
        </w:tc>
        <w:tc>
          <w:tcPr/>
          <w:p>
            <w:pPr>
              <w:pStyle w:val="Compact"/>
              <w:jc w:val="right"/>
            </w:pPr>
            <w:r>
              <w:t xml:space="preserve">8.5 %</w:t>
            </w:r>
          </w:p>
        </w:tc>
        <w:tc>
          <w:tcPr/>
          <w:p>
            <w:pPr>
              <w:pStyle w:val="Compact"/>
              <w:jc w:val="right"/>
            </w:pPr>
            <w:r>
              <w:t xml:space="preserve">0 of 23</w:t>
            </w:r>
          </w:p>
        </w:tc>
      </w:tr>
      <w:tr>
        <w:tc>
          <w:tcPr/>
          <w:p>
            <w:pPr>
              <w:pStyle w:val="Compact"/>
              <w:jc w:val="left"/>
            </w:pPr>
            <w:r>
              <w:t xml:space="preserve">low_vol</w:t>
            </w:r>
          </w:p>
        </w:tc>
        <w:tc>
          <w:tcPr/>
          <w:p>
            <w:pPr>
              <w:pStyle w:val="Compact"/>
              <w:jc w:val="right"/>
            </w:pPr>
            <w:r>
              <w:t xml:space="preserve">8.5 %</w:t>
            </w:r>
          </w:p>
        </w:tc>
        <w:tc>
          <w:tcPr/>
          <w:p>
            <w:pPr>
              <w:pStyle w:val="Compact"/>
              <w:jc w:val="right"/>
            </w:pPr>
            <w:r>
              <w:t xml:space="preserve">0 of 23</w:t>
            </w:r>
          </w:p>
        </w:tc>
      </w:tr>
      <w:tr>
        <w:tc>
          <w:tcPr/>
          <w:p>
            <w:pPr>
              <w:pStyle w:val="Compact"/>
              <w:jc w:val="left"/>
            </w:pPr>
            <w:r>
              <w:t xml:space="preserve">high_vol</w:t>
            </w:r>
          </w:p>
        </w:tc>
        <w:tc>
          <w:tcPr/>
          <w:p>
            <w:pPr>
              <w:pStyle w:val="Compact"/>
              <w:jc w:val="right"/>
            </w:pPr>
            <w:r>
              <w:t xml:space="preserve">8.5 %</w:t>
            </w:r>
          </w:p>
        </w:tc>
        <w:tc>
          <w:tcPr/>
          <w:p>
            <w:pPr>
              <w:pStyle w:val="Compact"/>
              <w:jc w:val="right"/>
            </w:pPr>
            <w:r>
              <w:t xml:space="preserve">0 of 23</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23 of 23</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23 of 23</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23 of 23</w:t>
            </w:r>
          </w:p>
        </w:tc>
      </w:tr>
      <w:tr>
        <w:tc>
          <w:tcPr/>
          <w:p>
            <w:pPr>
              <w:pStyle w:val="Compact"/>
              <w:jc w:val="left"/>
            </w:pPr>
            <w:r>
              <w:t xml:space="preserve">no_wide_sessions</w:t>
            </w:r>
          </w:p>
        </w:tc>
        <w:tc>
          <w:tcPr/>
          <w:p>
            <w:pPr>
              <w:pStyle w:val="Compact"/>
              <w:jc w:val="right"/>
            </w:pPr>
            <w:r>
              <w:t xml:space="preserve">10.1 %</w:t>
            </w:r>
          </w:p>
        </w:tc>
        <w:tc>
          <w:tcPr/>
          <w:p>
            <w:pPr>
              <w:pStyle w:val="Compact"/>
              <w:jc w:val="right"/>
            </w:pPr>
            <w:r>
              <w:t xml:space="preserve">0 of 23</w:t>
            </w:r>
          </w:p>
        </w:tc>
      </w:tr>
      <w:tr>
        <w:tc>
          <w:tcPr/>
          <w:p>
            <w:pPr>
              <w:pStyle w:val="Compact"/>
              <w:jc w:val="left"/>
            </w:pPr>
            <w:r>
              <w:t xml:space="preserve">wide_strike_grid</w:t>
            </w:r>
          </w:p>
        </w:tc>
        <w:tc>
          <w:tcPr/>
          <w:p>
            <w:pPr>
              <w:pStyle w:val="Compact"/>
              <w:jc w:val="right"/>
            </w:pPr>
            <w:r>
              <w:t xml:space="preserve">8.3 %</w:t>
            </w:r>
          </w:p>
        </w:tc>
        <w:tc>
          <w:tcPr/>
          <w:p>
            <w:pPr>
              <w:pStyle w:val="Compact"/>
              <w:jc w:val="right"/>
            </w:pPr>
            <w:r>
              <w:t xml:space="preserve">0 of 23</w:t>
            </w:r>
          </w:p>
        </w:tc>
      </w:tr>
      <w:tr>
        <w:tc>
          <w:tcPr/>
          <w:p>
            <w:pPr>
              <w:pStyle w:val="Compact"/>
              <w:jc w:val="left"/>
            </w:pPr>
            <w:r>
              <w:t xml:space="preserve">short_dated</w:t>
            </w:r>
          </w:p>
        </w:tc>
        <w:tc>
          <w:tcPr/>
          <w:p>
            <w:pPr>
              <w:pStyle w:val="Compact"/>
              <w:jc w:val="right"/>
            </w:pPr>
            <w:r>
              <w:t xml:space="preserve">0.3 %</w:t>
            </w:r>
          </w:p>
        </w:tc>
        <w:tc>
          <w:tcPr/>
          <w:p>
            <w:pPr>
              <w:pStyle w:val="Compact"/>
              <w:jc w:val="right"/>
            </w:pPr>
            <w:r>
              <w:t xml:space="preserve">15 of 23</w:t>
            </w:r>
          </w:p>
        </w:tc>
      </w:tr>
      <w:tr>
        <w:tc>
          <w:tcPr/>
          <w:p>
            <w:pPr>
              <w:pStyle w:val="Compact"/>
              <w:jc w:val="left"/>
            </w:pPr>
            <w:r>
              <w:t xml:space="preserve">long_dated</w:t>
            </w:r>
          </w:p>
        </w:tc>
        <w:tc>
          <w:tcPr/>
          <w:p>
            <w:pPr>
              <w:pStyle w:val="Compact"/>
              <w:jc w:val="right"/>
            </w:pPr>
            <w:r>
              <w:t xml:space="preserve">16.7 %</w:t>
            </w:r>
          </w:p>
        </w:tc>
        <w:tc>
          <w:tcPr/>
          <w:p>
            <w:pPr>
              <w:pStyle w:val="Compact"/>
              <w:jc w:val="right"/>
            </w:pPr>
            <w:r>
              <w:t xml:space="preserve">0 of 23</w:t>
            </w:r>
          </w:p>
        </w:tc>
      </w:tr>
    </w:tbl>
    <w:p>
      <w:pPr>
        <w:pStyle w:val="BodyText"/>
      </w:pPr>
      <w:r>
        <w:t xml:space="preserve">Coverage is zero in three of the ten specifications, which widen the quotes or</w:t>
      </w:r>
      <w:r>
        <w:t xml:space="preserve"> </w:t>
      </w:r>
      <w:r>
        <w:t xml:space="preserve">coarsen the tick. That is the direction the mechanism implies: the endpoint</w:t>
      </w:r>
      <w:r>
        <w:t xml:space="preserve"> </w:t>
      </w:r>
      <w:r>
        <w:t xml:space="preserve">range widens with the quote width, and the resolution rule abstains on options</w:t>
      </w:r>
      <w:r>
        <w:t xml:space="preserve"> </w:t>
      </w:r>
      <w:r>
        <w:t xml:space="preserve">whose time value falls below the instrument’s scale. A reader who carries the</w:t>
      </w:r>
      <w:r>
        <w:t xml:space="preserve"> </w:t>
      </w:r>
      <w:r>
        <w:t xml:space="preserve">development draw’s 8.1 % coverage into a</w:t>
      </w:r>
      <w:r>
        <w:t xml:space="preserve"> </w:t>
      </w:r>
      <w:r>
        <w:t xml:space="preserve">different market could be wrong by the whole of it.</w:t>
      </w:r>
    </w:p>
    <w:p>
      <w:pPr>
        <w:pStyle w:val="BodyText"/>
      </w:pPr>
      <w:r>
        <w:t xml:space="preserve">The honest reading is that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in both extremes; what it cannot do</w:t>
      </w:r>
      <w:r>
        <w:t xml:space="preserve"> </w:t>
      </w:r>
      <w:r>
        <w:t xml:space="preserve">is promise a yield in advance. The replication draws test that statement, and</w:t>
      </w:r>
      <w:r>
        <w:t xml:space="preserve"> </w:t>
      </w:r>
      <w:r>
        <w:t xml:space="preserve">R3 fails it: coverage does not hold across the declared specifications.</w:t>
      </w:r>
    </w:p>
    <w:p>
      <w:pPr>
        <w:pStyle w:val="BodyText"/>
      </w:pP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since</w:t>
      </w:r>
      <w:r>
        <w:t xml:space="preserve"> </w:t>
      </w:r>
      <w:r>
        <w:t xml:space="preserve">the holdout was not used for threshold selection and the two periods share</w:t>
      </w:r>
      <w:r>
        <w:t xml:space="preserve"> </w:t>
      </w:r>
      <w:r>
        <w:t xml:space="preserve">the same generator, but it does show the result does not depend on the first</w:t>
      </w:r>
      <w:r>
        <w:t xml:space="preserve"> </w:t>
      </w:r>
      <w:r>
        <w:t xml:space="preserve">half of the sample.</w:t>
      </w:r>
    </w:p>
    <w:p>
      <w:pPr>
        <w:pStyle w:val="BodyText"/>
      </w:pPr>
      <w:r>
        <w:rPr>
          <w:b/>
          <w:bCs/>
        </w:rPr>
        <w:t xml:space="preserve">R6 passed.</w:t>
      </w:r>
      <w:r>
        <w:t xml:space="preserve"> </w:t>
      </w:r>
      <w:r>
        <w:t xml:space="preserve">The largest mean change in certified coverage from any</w:t>
      </w:r>
      <w:r>
        <w:t xml:space="preserve"> </w:t>
      </w:r>
      <w:r>
        <w:t xml:space="preserve">perturbation is 8.5 points, against a bound of</w:t>
      </w:r>
      <w:r>
        <w:t xml:space="preserve"> </w:t>
      </w:r>
      <w:r>
        <w:t xml:space="preserve">15, and the largest single-draw change is 10.1</w:t>
      </w:r>
      <w:r>
        <w:t xml:space="preserve"> </w:t>
      </w:r>
      <w:r>
        <w:t xml:space="preserve">points. The margin is partly structural: the largest possible fall is the base</w:t>
      </w:r>
      <w:r>
        <w:t xml:space="preserve"> </w:t>
      </w:r>
      <w:r>
        <w:t xml:space="preserve">coverage of 8.5 %, so the rule can fail only through a rise of more than 15 points. Table 7 reports the development draw’s</w:t>
      </w:r>
      <w:r>
        <w:t xml:space="preserve"> </w:t>
      </w:r>
      <w:r>
        <w:t xml:space="preserve">perturbations, which are excluded from the tally and are descriptive. Section</w:t>
      </w:r>
      <w:r>
        <w:t xml:space="preserve"> </w:t>
      </w:r>
      <w:r>
        <w:t xml:space="preserve">6.7 discusses them.</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Synchronisation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divide cleanly into three groups, and the division is</w:t>
      </w:r>
      <w:r>
        <w:t xml:space="preserve"> </w:t>
      </w:r>
      <w:r>
        <w:t xml:space="preserve">informative.</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synchronisation tolerance, certified coverage falls to zero, and the</w:t>
      </w:r>
      <w:r>
        <w:t xml:space="preserve"> </w:t>
      </w:r>
      <w:r>
        <w:t xml:space="preserve">protocol reports no measurement at all. This is correct behaviour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Widening every</w:t>
      </w:r>
      <w:r>
        <w:t xml:space="preserve"> </w:t>
      </w:r>
      <w:r>
        <w:t xml:space="preserve">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 certification</w:t>
      </w:r>
      <w:r>
        <w:t xml:space="preserve"> </w:t>
      </w:r>
      <w:r>
        <w:t xml:space="preserve">is a statement about the quotes, not about the inputs.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reports the full cross-tabulation, with the raw</w:t>
      </w:r>
      <w:r>
        <w:t xml:space="preserve"> </w:t>
      </w:r>
      <w:r>
        <w:t xml:space="preserve">midpoint’s error in each cell for comparison.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The secondary outcome, calibration of a volatility surface, needs a</w:t>
      </w:r>
      <w:r>
        <w:t xml:space="preserve"> </w:t>
      </w:r>
      <w:r>
        <w:rPr>
          <w:i/>
          <w:iCs/>
        </w:rPr>
        <w:t xml:space="preserve">set</w:t>
      </w:r>
      <w:r>
        <w:t xml:space="preserve"> </w:t>
      </w:r>
      <w:r>
        <w:t xml:space="preserve">of</w:t>
      </w:r>
      <w:r>
        <w:t xml:space="preserve"> </w:t>
      </w:r>
      <w:r>
        <w:t xml:space="preserve">CPIV values.</w:t>
      </w:r>
      <w:r>
        <w:t xml:space="preserve"> </w:t>
      </w:r>
      <w:r>
        <w:t xml:space="preserve">In the development draw, the raw-midpoint input set contains</w:t>
      </w:r>
      <w:r>
        <w:t xml:space="preserve"> </w:t>
      </w:r>
      <w:r>
        <w:t xml:space="preserve">296 contracts and the protocol’s input set contains</w:t>
      </w:r>
      <w:r>
        <w:t xml:space="preserve"> </w:t>
      </w:r>
      <w:r>
        <w:t xml:space="preserve">72, so the calibration retains</w:t>
      </w:r>
      <w:r>
        <w:t xml:space="preserve"> </w:t>
      </w:r>
      <w:r>
        <w:t xml:space="preserve">24.3 % of the raw set and forgoes</w:t>
      </w:r>
      <w:r>
        <w:t xml:space="preserve"> </w:t>
      </w:r>
      <w:r>
        <w:t xml:space="preserve">224 contracts. Fitting a quadratic in</w:t>
      </w:r>
      <w:r>
        <w:t xml:space="preserve"> </w:t>
      </w:r>
      <w:r>
        <w:t xml:space="preserve">log-moneyness per expiry slice, the two surfaces differ by at most</w:t>
      </w:r>
      <w:r>
        <w:t xml:space="preserve"> </w:t>
      </w:r>
      <w:r>
        <w:t xml:space="preserve">2.227 percentage points of CPIV,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only: the paper makes no claim that either surface is better</w:t>
      </w:r>
      <w:r>
        <w:t xml:space="preserve"> </w:t>
      </w:r>
      <w:r>
        <w:t xml:space="preserve">specified, better behaved or more profitable.</w:t>
      </w:r>
      <w:r>
        <w:t xml:space="preserve"> </w:t>
      </w:r>
      <w:r>
        <w:t xml:space="preserve">The surface difference is the quantity to keep in view. Abstaining on</w:t>
      </w:r>
      <w:r>
        <w:t xml:space="preserve"> </w:t>
      </w:r>
      <w:r>
        <w:t xml:space="preserve">75.7 % of the contracts moves the fitted surface by</w:t>
      </w:r>
      <w:r>
        <w:t xml:space="preserve"> </w:t>
      </w:r>
      <w:r>
        <w:t xml:space="preserve">more than the measurement error of either set, and a practitioner who</w:t>
      </w:r>
      <w:r>
        <w:t xml:space="preserve"> </w:t>
      </w:r>
      <w:r>
        <w:t xml:space="preserve">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End w:id="57"/>
    <w:bookmarkStart w:id="62" w:name="discussion"/>
    <w:p>
      <w:pPr>
        <w:pStyle w:val="Heading2"/>
      </w:pPr>
      <w:r>
        <w:t xml:space="preserve">7. Discussion</w:t>
      </w:r>
    </w:p>
    <w:bookmarkStart w:id="58"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difference is exactly zero, and frontier p-values sit beside</w:t>
      </w:r>
      <w:r>
        <w:t xml:space="preserve"> </w:t>
      </w:r>
      <w:r>
        <w:t xml:space="preserve">every own-set comparison. Distinguishing</w:t>
      </w:r>
      <w:r>
        <w:t xml:space="preserve"> </w:t>
      </w:r>
      <w:r>
        <w:t xml:space="preserve">“this method is better”</w:t>
      </w:r>
      <w:r>
        <w:t xml:space="preserve"> </w:t>
      </w:r>
      <w:r>
        <w:t xml:space="preserve">from</w:t>
      </w:r>
      <w:r>
        <w:t xml:space="preserve"> </w:t>
      </w:r>
      <w:r>
        <w:t xml:space="preserve">“this</w:t>
      </w:r>
      <w:r>
        <w:t xml:space="preserve"> </w:t>
      </w:r>
      <w:r>
        <w:t xml:space="preserve">method selected better data”</w:t>
      </w:r>
      <w:r>
        <w:t xml:space="preserve"> </w:t>
      </w:r>
      <w:r>
        <w:t xml:space="preserve">is what keeps a method reproducible rather than</w:t>
      </w:r>
      <w:r>
        <w:t xml:space="preserve"> </w:t>
      </w:r>
      <w:r>
        <w:t xml:space="preserve">dependent on analyst discretion.</w:t>
      </w:r>
      <w:r>
        <w:t xml:space="preserve"> </w:t>
      </w:r>
      <w:r>
        <w:rPr>
          <w:b/>
          <w:bCs/>
        </w:rPr>
        <w:t xml:space="preserve">The thresholds are declared before any market data is read.</w:t>
      </w:r>
      <w:r>
        <w:t xml:space="preserve"> </w:t>
      </w:r>
      <w:r>
        <w:t xml:space="preserve">The addendum</w:t>
      </w:r>
      <w:r>
        <w:t xml:space="preserve"> </w:t>
      </w:r>
      <w:r>
        <w:t xml:space="preserve">declares the generator, the settings, the seeds, the specifications, the nulls</w:t>
      </w:r>
      <w:r>
        <w:t xml:space="preserve"> </w:t>
      </w:r>
      <w:r>
        <w:t xml:space="preserve">and the rules. Its timing relative to the replication outputs is not established</w:t>
      </w:r>
      <w:r>
        <w:t xml:space="preserve"> </w:t>
      </w:r>
      <w:r>
        <w:t xml:space="preserve">by the version history (Section 5.1).</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8"/>
    <w:bookmarkStart w:id="59"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largest difference between the benchmark and a licensed run is that the</w:t>
      </w:r>
      <w:r>
        <w:t xml:space="preserve"> </w:t>
      </w:r>
      <w:r>
        <w:t xml:space="preserve">benchmark’s truth is known, and a known truth makes accuracy measurable in a</w:t>
      </w:r>
      <w:r>
        <w:t xml:space="preserve"> </w:t>
      </w:r>
      <w:r>
        <w:t xml:space="preserve">way that no real market ever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59"/>
    <w:bookmarkStart w:id="60" w:name="threats-to-validity"/>
    <w:p>
      <w:pPr>
        <w:pStyle w:val="Heading3"/>
      </w:pPr>
      <w:r>
        <w:t xml:space="preserve">7.3 Threats to validity</w:t>
      </w:r>
    </w:p>
    <w:p>
      <w:pPr>
        <w:pStyle w:val="FirstParagraph"/>
      </w:pPr>
      <w:r>
        <w:rPr>
          <w:b/>
          <w:bCs/>
        </w:rPr>
        <w:t xml:space="preserve">The truth is a model artefact,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the licensed</w:t>
      </w:r>
      <w:r>
        <w:t xml:space="preserve"> </w:t>
      </w:r>
      <w:r>
        <w:t xml:space="preserve">run may present departures the benchmark does not.</w:t>
      </w:r>
      <w:r>
        <w:t xml:space="preserve"> </w:t>
      </w:r>
      <w:r>
        <w:rPr>
          <w:b/>
          <w:bCs/>
        </w:rPr>
        <w:t xml:space="preserve">The instrument’s microstructure was chosen.</w:t>
      </w:r>
      <w:r>
        <w:t xml:space="preserve"> </w:t>
      </w:r>
      <w:r>
        <w:t xml:space="preserve">The excluded development-draw</w:t>
      </w:r>
      <w:r>
        <w:t xml:space="preserve"> </w:t>
      </w:r>
      <w:r>
        <w:t xml:space="preserve">sweep shows coverage sensitive to microstructure on</w:t>
      </w:r>
      <w:r>
        <w:t xml:space="preserve"> </w:t>
      </w:r>
      <w:r>
        <w:rPr>
          <w:i/>
          <w:iCs/>
        </w:rPr>
        <w:t xml:space="preserve">this</w:t>
      </w:r>
      <w:r>
        <w:t xml:space="preserve"> </w:t>
      </w:r>
      <w:r>
        <w:t xml:space="preserve">instrument. That</w:t>
      </w:r>
      <w:r>
        <w:t xml:space="preserve"> </w:t>
      </w:r>
      <w:r>
        <w:t xml:space="preserve">coverage is a property of the market rather than of the protocol is what the</w:t>
      </w:r>
      <w:r>
        <w:t xml:space="preserve"> </w:t>
      </w:r>
      <w:r>
        <w:t xml:space="preserve">design predicts; the numbers in Table 6 are specific to this instrument.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w:t>
      </w:r>
      <w:r>
        <w:t xml:space="preserve"> </w:t>
      </w:r>
      <w:r>
        <w:t xml:space="preserve">The replication across seeds is the paper’s defence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0"/>
    <w:bookmarkStart w:id="61" w:name="what-a-practitioner-should-do-with-this"/>
    <w:p>
      <w:pPr>
        <w:pStyle w:val="Heading3"/>
      </w:pPr>
      <w:r>
        <w:t xml:space="preserve">7.4 What a practitioner should do with this</w:t>
      </w:r>
    </w:p>
    <w:p>
      <w:pPr>
        <w:pStyle w:val="FirstParagraph"/>
      </w:pPr>
      <w:r>
        <w:t xml:space="preserve">The operational message is deliberately narrow. 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 A pipeline that checks those</w:t>
      </w:r>
      <w:r>
        <w:t xml:space="preserve"> </w:t>
      </w:r>
      <w:r>
        <w:t xml:space="preserve">four things will abstain on most of what it should, and that is cheaper and</w:t>
      </w:r>
      <w:r>
        <w:t xml:space="preserve"> </w:t>
      </w:r>
      <w:r>
        <w:t xml:space="preserve">more robust than a full abstention protocol.</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1"/>
    <w:bookmarkEnd w:id="62"/>
    <w:bookmarkStart w:id="63"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pre-registered rule fails on the replication seeds, and it is the result</w:t>
      </w:r>
      <w:r>
        <w:t xml:space="preserve"> </w:t>
      </w:r>
      <w:r>
        <w:t xml:space="preserve">with the longest reach: certification coverage depends strongly on quote</w:t>
      </w:r>
      <w:r>
        <w:t xml:space="preserve"> </w:t>
      </w:r>
      <w:r>
        <w:t xml:space="preserve">microstructure, and three of ten specifications certify nothing in any draw</w:t>
      </w:r>
      <w:r>
        <w:t xml:space="preserve"> </w:t>
      </w:r>
      <w:r>
        <w:t xml:space="preserve">(Table 6). The protocol is not a portable rule with a fixed</w:t>
      </w:r>
      <w:r>
        <w:t xml:space="preserve"> </w:t>
      </w:r>
      <w:r>
        <w:t xml:space="preserve">yield. It is a labelling device whose coverage is a property of the market it</w:t>
      </w:r>
      <w:r>
        <w:t xml:space="preserve"> </w:t>
      </w:r>
      <w:r>
        <w:t xml:space="preserve">meets, and a practitioner who carries a coverage figure from one market into</w:t>
      </w:r>
      <w:r>
        <w:t xml:space="preserve"> </w:t>
      </w:r>
      <w:r>
        <w:t xml:space="preserve">another will be wrong.</w:t>
      </w:r>
      <w:r>
        <w:t xml:space="preserve"> </w:t>
      </w:r>
      <w:r>
        <w:t xml:space="preserve">The benchmark supports no market claim. What it does</w:t>
      </w:r>
      <w:r>
        <w:t xml:space="preserve"> </w:t>
      </w:r>
      <w:r>
        <w:t xml:space="preserve">establish is that the machinery behaves as specified, that the abstention</w:t>
      </w:r>
      <w:r>
        <w:t xml:space="preserve"> </w:t>
      </w:r>
      <w:r>
        <w:t xml:space="preserve">rule has a quantifiable selection effect, and that the thresholds are</w:t>
      </w:r>
      <w:r>
        <w:t xml:space="preserve"> </w:t>
      </w:r>
      <w:r>
        <w:t xml:space="preserve">declared before any market data is read.</w:t>
      </w:r>
      <w:r>
        <w:t xml:space="preserve"> </w:t>
      </w:r>
      <w:r>
        <w:t xml:space="preserve">The research that follows is of three kinds.</w:t>
      </w:r>
      <w:r>
        <w:t xml:space="preserve"> </w:t>
      </w:r>
      <w:r>
        <w:rPr>
          <w:b/>
          <w:bCs/>
        </w:rPr>
        <w:t xml:space="preserve">A licensed run</w:t>
      </w:r>
      <w:r>
        <w:t xml:space="preserve">, whose</w:t>
      </w:r>
      <w:r>
        <w:t xml:space="preserve"> </w:t>
      </w:r>
      <w:r>
        <w:t xml:space="preserve">schema, sampling rule and tick convention must be fixed and frozen first,</w:t>
      </w:r>
      <w:r>
        <w:t xml:space="preserve"> </w:t>
      </w:r>
      <w:r>
        <w:t xml:space="preserve">and whose primary result will be coverage and stability rather than</w:t>
      </w:r>
      <w:r>
        <w:t xml:space="preserve"> </w:t>
      </w:r>
      <w:r>
        <w:t xml:space="preserve">accuracy, because no real market permits accuracy to be measured.</w:t>
      </w:r>
      <w:r>
        <w:t xml:space="preserve"> </w:t>
      </w:r>
      <w:r>
        <w:rPr>
          <w:b/>
          <w:bCs/>
        </w:rPr>
        <w:t xml:space="preserve">An</w:t>
      </w:r>
      <w:r>
        <w:rPr>
          <w:b/>
          <w:bCs/>
        </w:rPr>
        <w:t xml:space="preserve"> </w:t>
      </w:r>
      <w:r>
        <w:rPr>
          <w:b/>
          <w:bCs/>
        </w:rPr>
        <w:t xml:space="preserve">American fallback for the put leg</w:t>
      </w:r>
      <w:r>
        <w:t xml:space="preserve">, which the benchmark shows the European</w:t>
      </w:r>
      <w:r>
        <w:t xml:space="preserve"> </w:t>
      </w:r>
      <w:r>
        <w:t xml:space="preserve">map can survive in the tested regime, and which must be adopted on the</w:t>
      </w:r>
      <w:r>
        <w:t xml:space="preserve"> </w:t>
      </w:r>
      <w:r>
        <w:t xml:space="preserve">strength of the licensed data’s exercise-style convention rather than a</w:t>
      </w:r>
      <w:r>
        <w:t xml:space="preserve"> </w:t>
      </w:r>
      <w:r>
        <w:t xml:space="preserve">synthetic one. And</w:t>
      </w:r>
      <w:r>
        <w:t xml:space="preserve"> </w:t>
      </w:r>
      <w:r>
        <w:rPr>
          <w:b/>
          <w:bCs/>
        </w:rPr>
        <w:t xml:space="preserve">an independent reimplementation</w:t>
      </w:r>
      <w:r>
        <w:t xml:space="preserve"> </w:t>
      </w:r>
      <w:r>
        <w:t xml:space="preserve">of the inversion and</w:t>
      </w:r>
      <w:r>
        <w:t xml:space="preserve"> </w:t>
      </w:r>
      <w:r>
        <w:t xml:space="preserve">the resolution rules, which no single-authored pipeline can supply for</w:t>
      </w:r>
      <w:r>
        <w:t xml:space="preserve"> </w:t>
      </w:r>
      <w:r>
        <w:t xml:space="preserve">itself.</w:t>
      </w:r>
    </w:p>
    <w:bookmarkEnd w:id="63"/>
    <w:bookmarkStart w:id="64" w:name="declarations-of-interest"/>
    <w:p>
      <w:pPr>
        <w:pStyle w:val="Heading2"/>
      </w:pPr>
      <w:r>
        <w:t xml:space="preserve">Declarations of Interest</w:t>
      </w:r>
    </w:p>
    <w:p>
      <w:pPr>
        <w:pStyle w:val="FirstParagraph"/>
      </w:pPr>
      <w:r>
        <w:rPr>
          <w:b/>
          <w:bCs/>
        </w:rPr>
        <w:t xml:space="preserve">Funding and in-kind support.</w:t>
      </w:r>
      <w:r>
        <w:t xml:space="preserve"> </w:t>
      </w:r>
      <w:r>
        <w:t xml:space="preserve">This research received no specific grant from</w:t>
      </w:r>
      <w:r>
        <w:t xml:space="preserve"> </w:t>
      </w:r>
      <w:r>
        <w:t xml:space="preserve">any funding agency in the public, commercial or not-for-profit sectors. The</w:t>
      </w:r>
      <w:r>
        <w:t xml:space="preserve"> </w:t>
      </w:r>
      <w:r>
        <w:t xml:space="preserve">author received a complimentary one-month HyperTracker Surge subscription from</w:t>
      </w:r>
      <w:r>
        <w:t xml:space="preserve"> </w:t>
      </w:r>
      <w:r>
        <w:t xml:space="preserve">CoinMarketMan as in-kind support. The provider supplied no data or analytical</w:t>
      </w:r>
      <w:r>
        <w:t xml:space="preserve"> </w:t>
      </w:r>
      <w:r>
        <w:t xml:space="preserve">input to this paper: no HyperTracker data are used, and all reported results</w:t>
      </w:r>
      <w:r>
        <w:t xml:space="preserve"> </w:t>
      </w:r>
      <w:r>
        <w:t xml:space="preserve">are synthetic.</w:t>
      </w:r>
    </w:p>
    <w:p>
      <w:pPr>
        <w:pStyle w:val="BodyText"/>
      </w:pPr>
      <w:r>
        <w:rPr>
          <w:b/>
          <w:bCs/>
        </w:rPr>
        <w:t xml:space="preserve">Competing interests.</w:t>
      </w:r>
      <w:r>
        <w:t xml:space="preserve"> </w:t>
      </w:r>
      <w:r>
        <w:t xml:space="preserve">The author discloses the complimentary CoinMarketMan</w:t>
      </w:r>
      <w:r>
        <w:t xml:space="preserve"> </w:t>
      </w:r>
      <w:r>
        <w:t xml:space="preserve">subscription above as a potential competing interest. The provider supplied no</w:t>
      </w:r>
      <w:r>
        <w:t xml:space="preserve"> </w:t>
      </w:r>
      <w:r>
        <w:t xml:space="preserve">data or analytical input, and no HyperTracker data are used in the results. The</w:t>
      </w:r>
      <w:r>
        <w:t xml:space="preserve"> </w:t>
      </w:r>
      <w:r>
        <w:t xml:space="preserve">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4"/>
    <w:bookmarkStart w:id="65"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artefacts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licensed market data was used. The licensed run on which the protocol is</w:t>
      </w:r>
      <w:r>
        <w:t xml:space="preserve"> </w:t>
      </w:r>
      <w:r>
        <w:t xml:space="preserve">intended to be applied has not been carried out, and no result in this paper</w:t>
      </w:r>
      <w:r>
        <w:t xml:space="preserve"> </w:t>
      </w:r>
      <w:r>
        <w:t xml:space="preserve">depends on one.</w:t>
      </w:r>
    </w:p>
    <w:bookmarkEnd w:id="65"/>
    <w:bookmarkStart w:id="66" w:name="use-of-artificial-intelligence"/>
    <w:p>
      <w:pPr>
        <w:pStyle w:val="Heading2"/>
      </w:pPr>
      <w:r>
        <w:t xml:space="preserve">Use of artificial intelligence</w:t>
      </w:r>
    </w:p>
    <w:p>
      <w:pPr>
        <w:pStyle w:val="FirstParagraph"/>
      </w:pPr>
      <w:r>
        <w:t xml:space="preserve">The author used Perplexity for deep research. An AI assistant helped draft</w:t>
      </w:r>
      <w:r>
        <w:t xml:space="preserve"> </w:t>
      </w:r>
      <w:r>
        <w:t xml:space="preserve">the phase-0 design record and the pre-registration, wrote and maintained the</w:t>
      </w:r>
      <w:r>
        <w:t xml:space="preserve"> </w:t>
      </w:r>
      <w:r>
        <w:t xml:space="preserve">measurement and analysis code and its test suite, the build, rendering and</w:t>
      </w:r>
      <w:r>
        <w:t xml:space="preserve"> </w:t>
      </w:r>
      <w:r>
        <w:t xml:space="preserve">submission scripts and the manuscript-limits checker, and assisted with the</w:t>
      </w:r>
      <w:r>
        <w:t xml:space="preserve"> </w:t>
      </w:r>
      <w:r>
        <w:t xml:space="preserve">language and structure of this manuscript. No AI system generated a result,</w:t>
      </w:r>
      <w:r>
        <w:t xml:space="preserve"> </w:t>
      </w:r>
      <w:r>
        <w:t xml:space="preserve">a number or a table: every number in this paper is produced by the released</w:t>
      </w:r>
      <w:r>
        <w:t xml:space="preserve"> </w:t>
      </w:r>
      <w:r>
        <w:t xml:space="preserve">code from the released artefacts, and the manuscript build fails if any</w:t>
      </w:r>
      <w:r>
        <w:t xml:space="preserve"> </w:t>
      </w:r>
      <w:r>
        <w:t xml:space="preserve">numeric slot in the text has no corresponding value in those artefacts. The</w:t>
      </w:r>
      <w:r>
        <w:t xml:space="preserve"> </w:t>
      </w:r>
      <w:r>
        <w:t xml:space="preserve">author reviewed all assisted work and is responsible for the entire content</w:t>
      </w:r>
      <w:r>
        <w:t xml:space="preserve"> </w:t>
      </w:r>
      <w:r>
        <w:t xml:space="preserve">of the paper.</w:t>
      </w:r>
    </w:p>
    <w:bookmarkEnd w:id="66"/>
    <w:bookmarkStart w:id="67"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7"/>
    <w:bookmarkStart w:id="68"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8"/>
    <w:bookmarkEnd w:id="69"/>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2026-10-26T21:35:27Z</dcterms:created>
  <dcterms:modified xsi:type="dcterms:W3CDTF">2026-10-26T21:35:27Z</dcterms:modified>
</cp:coreProperties>
</file>

<file path=docProps/custom.xml><?xml version="1.0" encoding="utf-8"?>
<Properties xmlns="http://schemas.openxmlformats.org/officeDocument/2006/custom-properties" xmlns:vt="http://schemas.openxmlformats.org/officeDocument/2006/docPropsVTypes"/>
</file>