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5.png" ContentType="image/png"/>
  <Override PartName="/word/media/rId23.png" ContentType="image/png"/>
  <Override PartName="/word/media/rId4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Diagnosing Call–Put Implied-Volatility Spreads: Exact European-BSM Mapping and Synthetic Reliability Tests</w:t>
      </w:r>
    </w:p>
    <w:p>
      <w:pPr>
        <w:pStyle w:val="Subtitle"/>
      </w:pPr>
      <w:r>
        <w:rPr>
          <w:lang w:val="en-US"/>
        </w:rPr>
        <w:t xml:space="preserve">A measurement-focused quantitative methods note</w:t>
      </w:r>
    </w:p>
    <w:p>
      <w:pPr>
        <w:pStyle w:val="Author"/>
      </w:pPr>
      <w:r>
        <w:rPr>
          <w:lang w:val="en-US"/>
        </w:rPr>
        <w:t xml:space="preserve">Phirawit Jitnarong</w:t>
      </w:r>
    </w:p>
    <w:p>
      <w:pPr>
        <w:pStyle w:val="Date"/>
      </w:pPr>
      <w:r>
        <w:rPr>
          <w:lang w:val="en-US"/>
        </w:rPr>
        <w:t xml:space="preserve">18 October 2026</w:t>
      </w:r>
    </w:p>
    <w:p>
      <w:pPr>
        <w:pStyle w:val="FirstParagraph"/>
      </w:pPr>
      <w:r>
        <w:rPr>
          <w:b/>
          <w:bCs/>
          <w:lang w:val="en-US"/>
        </w:rPr>
        <w:t xml:space="preserve">Affiliation:</w:t>
      </w:r>
      <w:r>
        <w:rPr>
          <w:lang w:val="en-US"/>
        </w:rPr>
        <w:t xml:space="preserve"> </w:t>
      </w:r>
      <w:r>
        <w:rPr>
          <w:lang w:val="en-US"/>
        </w:rPr>
        <w:t xml:space="preserve">Independent researcher</w:t>
      </w:r>
      <w:r>
        <w:br/>
      </w:r>
      <w:r>
        <w:rPr>
          <w:b/>
          <w:bCs/>
          <w:lang w:val="en-US"/>
        </w:rPr>
        <w:t xml:space="preserve">ORCID:</w:t>
      </w:r>
      <w:r>
        <w:rPr>
          <w:lang w:val="en-US"/>
        </w:rPr>
        <w:t xml:space="preserve"> </w:t>
      </w:r>
      <w:hyperlink r:id="rId9">
        <w:r>
          <w:rPr>
            <w:rStyle w:val="Hyperlink"/>
            <w:lang w:val="en-US"/>
          </w:rPr>
          <w:t xml:space="preserve">0009-0006-8368-5309</w:t>
        </w:r>
      </w:hyperlink>
      <w:r>
        <w:br/>
      </w:r>
      <w:r>
        <w:rPr>
          <w:b/>
          <w:bCs/>
          <w:lang w:val="en-US"/>
        </w:rPr>
        <w:t xml:space="preserve">Contact:</w:t>
      </w:r>
      <w:r>
        <w:rPr>
          <w:lang w:val="en-US"/>
        </w:rPr>
        <w:t xml:space="preserve"> </w:t>
      </w:r>
      <w:r>
        <w:rPr>
          <w:lang w:val="en-US"/>
        </w:rPr>
        <w:t xml:space="preserve">nxme176@gmail.com</w:t>
      </w:r>
    </w:p>
    <w:bookmarkStart w:id="10" w:name="thai-summary"/>
    <w:p>
      <w:pPr>
        <w:pStyle w:val="Heading2"/>
      </w:pPr>
      <w:r>
        <w:rPr>
          <w:lang w:val="en-US"/>
        </w:rPr>
        <w:t xml:space="preserve">Thai summary</w:t>
      </w:r>
    </w:p>
    <w:p>
      <w:pPr>
        <w:pStyle w:val="FirstParagraph"/>
      </w:pPr>
      <w:r>
        <w:rPr>
          <w:lang w:val="en-US"/>
        </w:rPr>
        <w:t xml:space="preserve">บทความนี้เสนอขั้นตอนตรวจวัด call–put implied-volatility spread (CPIV) โดยเริ่มจากอัตลักษณ์ภายใต้ European BSM: parity residual เท่ากับอินทิกรัลของ vega ระหว่าง implied volatility สองขาเมื่อใช้ inputs ร่วมกันและทั้งสองรากมีอยู่ อัตลักษณ์นี้เชื่อม CPIV กับ residual โดยโครงสร้าง ไม่ใช่หลักฐานยืนยันอิสระ ในตัวอย่างสังเคราะห์ที่กำหนด tick สมมติ</w:t>
      </w:r>
      <w:r>
        <w:rPr>
          <w:lang w:val="en-US"/>
        </w:rPr>
        <w:t xml:space="preserve"> </w:t>
      </w:r>
      <m:oMath>
        <m:r>
          <m:t>t</m:t>
        </m:r>
        <m:r>
          <m:rPr>
            <m:sty m:val="p"/>
          </m:rPr>
          <m:t>=</m:t>
        </m:r>
        <m:r>
          <m:t>0.01</m:t>
        </m:r>
      </m:oMath>
      <w:r>
        <w:rPr>
          <w:lang w:val="en-US"/>
        </w:rPr>
        <w:t xml:space="preserve"> </w:t>
      </w:r>
      <w:r>
        <w:rPr>
          <w:lang w:val="en-US"/>
        </w:rPr>
        <w:t xml:space="preserve">การช็อกราคาแบบเต็ม tick</w:t>
      </w:r>
      <w:r>
        <w:rPr>
          <w:lang w:val="en-US"/>
        </w:rPr>
        <w:t xml:space="preserve"> </w:t>
      </w:r>
      <m:oMath>
        <m:r>
          <m:rPr>
            <m:sty m:val="p"/>
          </m:rPr>
          <m:t>(</m:t>
        </m:r>
        <m:r>
          <m:rPr>
            <m:sty m:val="p"/>
          </m:rPr>
          <m:t>±</m:t>
        </m:r>
        <m:r>
          <m:t>t</m:t>
        </m:r>
        <m:r>
          <m:rPr>
            <m:sty m:val="p"/>
          </m:rPr>
          <m:t>)</m:t>
        </m:r>
      </m:oMath>
      <w:r>
        <w:rPr>
          <w:lang w:val="en-US"/>
        </w:rPr>
        <w:t xml:space="preserve"> </w:t>
      </w:r>
      <w:r>
        <w:rPr>
          <w:lang w:val="en-US"/>
        </w:rPr>
        <w:t xml:space="preserve">ทำให้ ATM IV เปลี่ยนสูงสุด 0.087469 จุดเปอร์เซ็นต์ ส่วนการช็อกครึ่ง tick</w:t>
      </w:r>
      <w:r>
        <w:rPr>
          <w:lang w:val="en-US"/>
        </w:rPr>
        <w:t xml:space="preserve"> </w:t>
      </w:r>
      <m:oMath>
        <m:r>
          <m:rPr>
            <m:sty m:val="p"/>
          </m:rPr>
          <m:t>(</m:t>
        </m:r>
        <m:r>
          <m:rPr>
            <m:sty m:val="p"/>
          </m:rPr>
          <m:t>±</m:t>
        </m:r>
        <m:r>
          <m:t>t</m:t>
        </m:r>
        <m:r>
          <m:rPr>
            <m:sty m:val="p"/>
          </m:rPr>
          <m:t>/</m:t>
        </m:r>
        <m:r>
          <m:t>2</m:t>
        </m:r>
        <m:r>
          <m:rPr>
            <m:sty m:val="p"/>
          </m:rPr>
          <m:t>)</m:t>
        </m:r>
      </m:oMath>
      <w:r>
        <w:rPr>
          <w:lang w:val="en-US"/>
        </w:rPr>
        <w:t xml:space="preserve"> </w:t>
      </w:r>
      <w:r>
        <w:rPr>
          <w:lang w:val="en-US"/>
        </w:rPr>
        <w:t xml:space="preserve">ให้ 0.043735 จุด ดังนั้นที่ tolerance 0.05 จุด ผลจึงต่างกันตาม convention ทั้งสองขาในกรณี deep มี OTM-equivalent time value ประมาณ</w:t>
      </w:r>
      <w:r>
        <w:rPr>
          <w:lang w:val="en-US"/>
        </w:rPr>
        <w:t xml:space="preserve"> </w:t>
      </w:r>
      <m:oMath>
        <m:r>
          <m:t>3.178</m:t>
        </m:r>
        <m:r>
          <m:rPr>
            <m:sty m:val="p"/>
          </m:rPr>
          <m:t>×</m:t>
        </m:r>
        <m:sSup>
          <m:e>
            <m:r>
              <m:t>10</m:t>
            </m:r>
          </m:e>
          <m:sup>
            <m:r>
              <m:rPr>
                <m:sty m:val="p"/>
              </m:rPr>
              <m:t>−</m:t>
            </m:r>
            <m:r>
              <m:t>6</m:t>
            </m:r>
          </m:sup>
        </m:sSup>
      </m:oMath>
      <w:r>
        <w:rPr>
          <w:lang w:val="en-US"/>
        </w:rPr>
        <w:t xml:space="preserve"> </w:t>
      </w:r>
      <w:r>
        <w:rPr>
          <w:lang w:val="en-US"/>
        </w:rPr>
        <w:t xml:space="preserve">ซึ่งต่ำกว่า tick; ช็อกราคาเพิ่ม</w:t>
      </w:r>
      <w:r>
        <w:rPr>
          <w:lang w:val="en-US"/>
        </w:rPr>
        <w:t xml:space="preserve"> </w:t>
      </w:r>
      <m:oMath>
        <m:r>
          <m:t>t</m:t>
        </m:r>
      </m:oMath>
      <w:r>
        <w:rPr>
          <w:lang w:val="en-US"/>
        </w:rPr>
        <w:t xml:space="preserve"> </w:t>
      </w:r>
      <w:r>
        <w:rPr>
          <w:lang w:val="en-US"/>
        </w:rPr>
        <w:t xml:space="preserve">และ</w:t>
      </w:r>
      <w:r>
        <w:rPr>
          <w:lang w:val="en-US"/>
        </w:rPr>
        <w:t xml:space="preserve"> </w:t>
      </w:r>
      <m:oMath>
        <m:r>
          <m:t>t</m:t>
        </m:r>
        <m:r>
          <m:rPr>
            <m:sty m:val="p"/>
          </m:rPr>
          <m:t>/</m:t>
        </m:r>
        <m:r>
          <m:t>2</m:t>
        </m:r>
      </m:oMath>
      <w:r>
        <w:rPr>
          <w:lang w:val="en-US"/>
        </w:rPr>
        <w:t xml:space="preserve"> </w:t>
      </w:r>
      <w:r>
        <w:rPr>
          <w:lang w:val="en-US"/>
        </w:rPr>
        <w:t xml:space="preserve">ทำให้ IV เปลี่ยนด้านที่มีรากประมาณ 7.0717 และ 5.9264 จุดตามลำดับ ขณะที่ช็อกด้านลบไม่มีราก กรณีนี้จึง unresolved ทั้งสอง convention การคลาดเคลื่อนของ carry/spot ในกรณีสังเคราะห์สร้าง CPIV ที่เปลี่ยนได้หลายจุดเปอร์เซ็นต์ การประมาณ local รอบจุดกึ่งกลางมี error เพิ่มใกล้กำลังสามของขนาด spread ในกริดที่ออกแบบให้สมมาตร แต่เมื่อเลื่อน reference volatility เพียง 1 จุด volatility ค่า median error เพิ่มจาก 0.0000786 เป็น 0.04238 pp และ p95 เป็น 1.4767 pp การเปรียบเทียบเวิร์กโฟลว์แบบสังเคราะห์ที่ผู้เขียนรันเองพบว่า identification screen ไม่ให้การจัดลำดับผิดในคู่ที่ตัดสินได้ แต่ทิ้งคู่ที่มีลำดับจริงจำนวนมากไว้โดยไม่ตัดสิน การลดลงของการจัดลำดับผิดเทียบกับการจัดอันดับจาก midpoint ดิบมีขนาดเล็ก (0.08–0.18 จุดเปอร์เซ็นต์ของคู่ที่ตัดสินได้) จึงเป็นการแลกระหว่างความครอบคลุมกับความผิดพลาด ไม่ใช่หลักฐานว่าดีกว่าบนใบเสนอราคาจริง ผลทั้งหมดมาจากการทดลองสังเคราะห์ ไม่ใช่ข้อมูล option-chain จริง ผลตอบแทน การทดสอบ alpha หรือข้อสรุปเชิงตลาด</w:t>
      </w:r>
    </w:p>
    <w:p>
      <w:pPr>
        <w:pStyle w:val="BodyText"/>
      </w:pPr>
      <w:r>
        <w:rPr>
          <w:b/>
          <w:bCs/>
          <w:lang w:val="en-US"/>
        </w:rPr>
        <w:t xml:space="preserve">คำสำคัญ:</w:t>
      </w:r>
      <w:r>
        <w:rPr>
          <w:lang w:val="en-US"/>
        </w:rPr>
        <w:t xml:space="preserve"> </w:t>
      </w:r>
      <w:r>
        <w:rPr>
          <w:lang w:val="en-US"/>
        </w:rPr>
        <w:t xml:space="preserve">call–put implied-volatility spread; put–call parity; implied volatility; vega; quote uncertainty; numerical stability; synthetic measurement study</w:t>
      </w:r>
    </w:p>
    <w:bookmarkEnd w:id="10"/>
    <w:bookmarkStart w:id="11" w:name="abstract"/>
    <w:p>
      <w:pPr>
        <w:pStyle w:val="Heading2"/>
      </w:pPr>
      <w:r>
        <w:rPr>
          <w:lang w:val="en-US"/>
        </w:rPr>
        <w:t xml:space="preserve">Abstract</w:t>
      </w:r>
    </w:p>
    <w:p>
      <w:pPr>
        <w:pStyle w:val="FirstParagraph"/>
      </w:pPr>
      <w:r>
        <w:rPr>
          <w:lang w:val="en-US"/>
        </w:rPr>
        <w:t xml:space="preserve">This methods note specifies a diagnostic workflow for the call–put implied-volatility spread (CPIV). Under a common European Black–Scholes–Merton (BSM) map, the parity residual equals the integral of vega between the two leg-specific implied-volatility roots, so CPIV and the residual are linked by construction and do not provide independent confirmation. For a hypothetical price tick of 0.01, the synthetic at-the-money, 30-day, 20%-volatility example has a worst-direction IV displacement of 0.087 percentage points under full-tick shocks and 0.044 pp under half-tick shocks. At an illustrative 0.05-point threshold, the first is outside and the second within tolerance, so the classification depends on the declared shock convention. A deep synthetic pair, whose OTM-equivalent time values lie below the tick, remains unresolved under both conventions. A one-basis-point forward mismatch corresponds locally to 0.087469 CPIV points in the ATM example; this conversion is configuration-specific. Carry and spot-mismatch scenarios move CPIV by several points, and a centered approximation grid shows error growing roughly as the cube of the displacement. In an author-run synthetic cross-section with known truth, an identification screen made no wrong-order decisions where it decided, but left most truly ordered pairs undecided; its reduction in wrong-order decisions relative to raw-midpoint ranking was 0.08–0.18 percentage points of decided pairs in the cells where the claim rule credits a benefit. These are synthetic numerical and design checks, not independent replication, and they contain no market quotes, returns, or investment performance.</w:t>
      </w:r>
    </w:p>
    <w:p>
      <w:pPr>
        <w:pStyle w:val="BodyText"/>
      </w:pPr>
      <w:r>
        <w:rPr>
          <w:b/>
          <w:bCs/>
          <w:lang w:val="en-US"/>
        </w:rPr>
        <w:t xml:space="preserve">Keywords:</w:t>
      </w:r>
      <w:r>
        <w:rPr>
          <w:lang w:val="en-US"/>
        </w:rPr>
        <w:t xml:space="preserve"> </w:t>
      </w:r>
      <w:r>
        <w:rPr>
          <w:lang w:val="en-US"/>
        </w:rPr>
        <w:t xml:space="preserve">call–put implied-volatility spread; put–call parity; implied volatility; vega; quote uncertainty; numerical stability; synthetic measurement study</w:t>
      </w:r>
    </w:p>
    <w:bookmarkEnd w:id="11"/>
    <w:bookmarkStart w:id="12" w:name="introduction"/>
    <w:p>
      <w:pPr>
        <w:pStyle w:val="Heading2"/>
      </w:pPr>
      <w:r>
        <w:rPr>
          <w:lang w:val="en-US"/>
        </w:rPr>
        <w:t xml:space="preserve">1. Introduction</w:t>
      </w:r>
    </w:p>
    <w:p>
      <w:pPr>
        <w:pStyle w:val="FirstParagraph"/>
      </w:pPr>
      <w:r>
        <w:rPr>
          <w:lang w:val="en-US"/>
        </w:rPr>
        <w:t xml:space="preserve">The call–put implied-volatility spread is often discussed as a measure of relative option richness or as a predictor of returns. Those interpretations concern different objects. CPIV is a difference between two model-implied volatility estimates. A return spread is an outcome measured in a later period. An option-return spread is different again. A measurement study should establish what the input prices and inversion procedure identify before attaching an economic interpretation.</w:t>
      </w:r>
    </w:p>
    <w:p>
      <w:pPr>
        <w:pStyle w:val="BodyText"/>
      </w:pPr>
      <w:r>
        <w:rPr>
          <w:lang w:val="en-US"/>
        </w:rPr>
        <w:t xml:space="preserve">This note makes a narrow operational contribution: it specifies and implements a diagnostic workflow that connects the common-map identity, input validation, inversion statuses, quote-implied ranges, separately reported price-resolution sensitivities, local approximation, and ranking stability. It does not claim a novel parity identity or an empirically superior estimator. Its contribution is the explicit workflow, the accompanying synthetic numerical stress tests, and a synthetic comparison that shows a coverage–error trade-off for the identification screen (Section 7.9); the staged protocol appears in Table 10.</w:t>
      </w:r>
    </w:p>
    <w:p>
      <w:pPr>
        <w:pStyle w:val="BodyText"/>
      </w:pPr>
      <w:r>
        <w:rPr>
          <w:lang w:val="en-US"/>
        </w:rPr>
        <w:t xml:space="preserve">The scope is intentionally limited. The synthetic tests establish properties of the specified pricing map and simulation designs. They do not establish how often these conditions occur in listed markets, whether CPIV forecasts stock or option returns, or whether a CPIV strategy earns returns after costs. No historical option-chain data or market-wide position census is used.</w:t>
      </w:r>
    </w:p>
    <w:bookmarkEnd w:id="12"/>
    <w:bookmarkStart w:id="13" w:name="X2d729899521b13cd5f02996b098def5903726a6"/>
    <w:p>
      <w:pPr>
        <w:pStyle w:val="Heading2"/>
      </w:pPr>
      <w:r>
        <w:rPr>
          <w:lang w:val="en-US"/>
        </w:rPr>
        <w:t xml:space="preserve">2. Related literature and the measurement question</w:t>
      </w:r>
    </w:p>
    <w:p>
      <w:pPr>
        <w:pStyle w:val="FirstParagraph"/>
      </w:pPr>
      <w:r>
        <w:rPr>
          <w:lang w:val="en-US"/>
        </w:rPr>
        <w:t xml:space="preserve">Empirical work gives CPIV-like measures economic interpretations, but it studies outcomes that should not be conflated. Cremers and Weinbaum (2010) use implied-volatility differences between paired calls and puts and report a relation with subsequent stock returns. Their paper also examines stock-lending rebate rates directly; it should not be summarized as ignoring borrow conditions. Doran, Fodor, and Jiang (2013) distinguish stock-return predictability from returns on out-of-the-money call options and interpret option demand using their data. Those are separate outcome variables and empirical designs.</w:t>
      </w:r>
    </w:p>
    <w:p>
      <w:pPr>
        <w:pStyle w:val="BodyText"/>
      </w:pPr>
      <w:r>
        <w:rPr>
          <w:lang w:val="en-US"/>
        </w:rPr>
        <w:t xml:space="preserve">Related cross-market evidence need not be a CPIV result. Goncalves-Pinto et al. (2020) study discrepancies between stock-market prices and option-implied stock values. Their evidence is consistent with stock-price pressure being an important driver in their setting. That finding motivates caution when interpreting option-implied signals; it does not validate the synthetic diagnostics in this note.</w:t>
      </w:r>
    </w:p>
    <w:p>
      <w:pPr>
        <w:pStyle w:val="BodyText"/>
      </w:pPr>
      <w:r>
        <w:rPr>
          <w:lang w:val="en-US"/>
        </w:rPr>
        <w:t xml:space="preserve">Measurement error is central to implied-volatility work. Hentschel (2003) shows that plausible errors in option characteristics can translate into large implied-volatility errors, particularly away from the money, and discusses lower-bound truncation as a source of bias. Muravyev and Pearson (2020) show that option-trading-cost estimates depend on execution timing in their sample. Their estimates are not universal bid–ask discounts and are not applied as corrections here. Sokolov’s (2019) doctoral dissertation develops a noisy-price interpretation of implied-volatility spreads and discusses American-option bounds with bid–ask spreads; it is useful background but is a dissertation, not a journal article.</w:t>
      </w:r>
    </w:p>
    <w:p>
      <w:pPr>
        <w:pStyle w:val="BodyText"/>
      </w:pPr>
      <w:r>
        <w:rPr>
          <w:lang w:val="en-US"/>
        </w:rPr>
        <w:t xml:space="preserve">The gap addressed here is narrower than those economic debates: given paired prices and a stated inversion contract, what is algebraically identified, what is numerically resolved, and how sensitive are descriptive rankings to plausible</w:t>
      </w:r>
      <w:r>
        <w:rPr>
          <w:lang w:val="en-US"/>
        </w:rPr>
        <w:t xml:space="preserve"> </w:t>
      </w:r>
      <w:r>
        <w:rPr>
          <w:i/>
          <w:iCs/>
          <w:lang w:val="en-US"/>
        </w:rPr>
        <w:t xml:space="preserve">synthetic</w:t>
      </w:r>
      <w:r>
        <w:rPr>
          <w:lang w:val="en-US"/>
        </w:rPr>
        <w:t xml:space="preserve"> </w:t>
      </w:r>
      <w:r>
        <w:rPr>
          <w:lang w:val="en-US"/>
        </w:rPr>
        <w:t xml:space="preserve">perturbations? The answer is a measurement protocol, not a causal or predictive claim.</w:t>
      </w:r>
    </w:p>
    <w:bookmarkEnd w:id="13"/>
    <w:bookmarkStart w:id="14" w:name="definitions-and-units"/>
    <w:p>
      <w:pPr>
        <w:pStyle w:val="Heading2"/>
      </w:pPr>
      <w:r>
        <w:rPr>
          <w:lang w:val="en-US"/>
        </w:rPr>
        <w:t xml:space="preserve">3. Definitions and units</w:t>
      </w:r>
    </w:p>
    <w:p>
      <w:pPr>
        <w:pStyle w:val="FirstParagraph"/>
      </w:pPr>
      <w:r>
        <w:rPr>
          <w:lang w:val="en-US"/>
        </w:rPr>
        <w:t xml:space="preserve">For a call and put with the same underlying, timestamp, strike</w:t>
      </w:r>
      <w:r>
        <w:rPr>
          <w:lang w:val="en-US"/>
        </w:rPr>
        <w:t xml:space="preserve"> </w:t>
      </w:r>
      <m:oMath>
        <m:r>
          <m:t>K</m:t>
        </m:r>
      </m:oMath>
      <w:r>
        <w:rPr>
          <w:lang w:val="en-US"/>
        </w:rPr>
        <w:t xml:space="preserve">, expiry</w:t>
      </w:r>
      <w:r>
        <w:rPr>
          <w:lang w:val="en-US"/>
        </w:rPr>
        <w:t xml:space="preserve"> </w:t>
      </w:r>
      <m:oMath>
        <m:r>
          <m:t>T</m:t>
        </m:r>
      </m:oMath>
      <w:r>
        <w:rPr>
          <w:lang w:val="en-US"/>
        </w:rPr>
        <w:t xml:space="preserve">, and pricing inputs, define</w:t>
      </w:r>
    </w:p>
    <w:p>
      <w:pPr>
        <w:pStyle w:val="BodyText"/>
      </w:pPr>
      <m:oMathPara>
        <m:oMathParaPr>
          <m:jc m:val="center"/>
        </m:oMathParaPr>
        <m:oMath>
          <m:r>
            <m:t>C</m:t>
          </m:r>
          <m:r>
            <m:t>P</m:t>
          </m:r>
          <m:r>
            <m:t>I</m:t>
          </m:r>
          <m:sSub>
            <m:e>
              <m:r>
                <m:t>V</m:t>
              </m:r>
            </m:e>
            <m:sub>
              <m:r>
                <m:t>p</m:t>
              </m:r>
              <m:r>
                <m:t>p</m:t>
              </m:r>
            </m:sub>
          </m:sSub>
          <m:r>
            <m:rPr>
              <m:sty m:val="p"/>
            </m:rPr>
            <m:t>=</m:t>
          </m:r>
          <m:r>
            <m:t>100</m:t>
          </m:r>
          <m:r>
            <m:rPr>
              <m:sty m:val="p"/>
            </m:rPr>
            <m:t>(</m:t>
          </m:r>
          <m:sSub>
            <m:e>
              <m:r>
                <m:t>σ</m:t>
              </m:r>
            </m:e>
            <m:sub>
              <m:r>
                <m:t>C</m:t>
              </m:r>
            </m:sub>
          </m:sSub>
          <m:r>
            <m:rPr>
              <m:sty m:val="p"/>
            </m:rPr>
            <m:t>−</m:t>
          </m:r>
          <m:sSub>
            <m:e>
              <m:r>
                <m:t>σ</m:t>
              </m:r>
            </m:e>
            <m:sub>
              <m:r>
                <m:t>P</m:t>
              </m:r>
            </m:sub>
          </m:sSub>
          <m:r>
            <m:rPr>
              <m:sty m:val="p"/>
            </m:rPr>
            <m:t>)</m:t>
          </m:r>
          <m:r>
            <m:t>  </m:t>
          </m:r>
          <m:r>
            <m:rPr>
              <m:nor/>
              <m:sty m:val="p"/>
            </m:rPr>
            <m:t>(1)</m:t>
          </m:r>
        </m:oMath>
      </m:oMathPara>
    </w:p>
    <w:p>
      <w:pPr>
        <w:pStyle w:val="FirstParagraph"/>
      </w:pPr>
      <w:r>
        <w:rPr>
          <w:lang w:val="en-US"/>
        </w:rPr>
        <w:t xml:space="preserve">where each</w:t>
      </w:r>
      <w:r>
        <w:rPr>
          <w:lang w:val="en-US"/>
        </w:rPr>
        <w:t xml:space="preserve"> </w:t>
      </w:r>
      <m:oMath>
        <m:r>
          <m:t>σ</m:t>
        </m:r>
      </m:oMath>
      <w:r>
        <w:rPr>
          <w:lang w:val="en-US"/>
        </w:rPr>
        <w:t xml:space="preserve"> </w:t>
      </w:r>
      <w:r>
        <w:rPr>
          <w:lang w:val="en-US"/>
        </w:rPr>
        <w:t xml:space="preserve">is an annualized volatility in decimal units. The subscript</w:t>
      </w:r>
      <w:r>
        <w:rPr>
          <w:lang w:val="en-US"/>
        </w:rPr>
        <w:t xml:space="preserve"> </w:t>
      </w:r>
      <m:oMath>
        <m:r>
          <m:t>p</m:t>
        </m:r>
        <m:r>
          <m:t>p</m:t>
        </m:r>
      </m:oMath>
      <w:r>
        <w:rPr>
          <w:lang w:val="en-US"/>
        </w:rPr>
        <w:t xml:space="preserve"> </w:t>
      </w:r>
      <w:r>
        <w:rPr>
          <w:lang w:val="en-US"/>
        </w:rPr>
        <w:t xml:space="preserve">denotes volatility percentage points: a decimal-volatility difference of 0.01 is one percentage point. It is not a percentage return.</w:t>
      </w:r>
    </w:p>
    <w:p>
      <w:pPr>
        <w:pStyle w:val="BodyText"/>
      </w:pPr>
      <w:r>
        <w:rPr>
          <w:lang w:val="en-US"/>
        </w:rPr>
        <w:t xml:space="preserve">With spot</w:t>
      </w:r>
      <w:r>
        <w:rPr>
          <w:lang w:val="en-US"/>
        </w:rPr>
        <w:t xml:space="preserve"> </w:t>
      </w:r>
      <m:oMath>
        <m:r>
          <m:t>S</m:t>
        </m:r>
      </m:oMath>
      <w:r>
        <w:rPr>
          <w:lang w:val="en-US"/>
        </w:rPr>
        <w:t xml:space="preserve">, continuously compounded rate</w:t>
      </w:r>
      <w:r>
        <w:rPr>
          <w:lang w:val="en-US"/>
        </w:rPr>
        <w:t xml:space="preserve"> </w:t>
      </w:r>
      <m:oMath>
        <m:r>
          <m:t>r</m:t>
        </m:r>
      </m:oMath>
      <w:r>
        <w:rPr>
          <w:lang w:val="en-US"/>
        </w:rPr>
        <w:t xml:space="preserve">, and continuous effective yield</w:t>
      </w:r>
      <w:r>
        <w:rPr>
          <w:lang w:val="en-US"/>
        </w:rPr>
        <w:t xml:space="preserve"> </w:t>
      </w:r>
      <m:oMath>
        <m:r>
          <m:t>q</m:t>
        </m:r>
      </m:oMath>
      <w:r>
        <w:rPr>
          <w:lang w:val="en-US"/>
        </w:rPr>
        <w:t xml:space="preserve">, define the European parity residual</w:t>
      </w:r>
    </w:p>
    <w:p>
      <w:pPr>
        <w:pStyle w:val="BodyText"/>
      </w:pPr>
      <m:oMathPara>
        <m:oMathParaPr>
          <m:jc m:val="center"/>
        </m:oMathParaPr>
        <m:oMath>
          <m:r>
            <m:t>R</m:t>
          </m:r>
          <m:r>
            <m:rPr>
              <m:sty m:val="p"/>
            </m:rPr>
            <m:t>=</m:t>
          </m:r>
          <m:r>
            <m:t>C</m:t>
          </m:r>
          <m:r>
            <m:rPr>
              <m:sty m:val="p"/>
            </m:rPr>
            <m:t>−</m:t>
          </m:r>
          <m:r>
            <m:t>P</m:t>
          </m:r>
          <m:r>
            <m:rPr>
              <m:sty m:val="p"/>
            </m:rPr>
            <m:t>−</m:t>
          </m:r>
          <m:r>
            <m:rPr>
              <m:sty m:val="p"/>
            </m:rPr>
            <m:t>(</m:t>
          </m:r>
          <m:r>
            <m:t>S</m:t>
          </m:r>
          <m:sSup>
            <m:e>
              <m:r>
                <m:t>e</m:t>
              </m:r>
            </m:e>
            <m:sup>
              <m:r>
                <m:rPr>
                  <m:sty m:val="p"/>
                </m:rPr>
                <m:t>−</m:t>
              </m:r>
              <m:r>
                <m:t>q</m:t>
              </m:r>
              <m:r>
                <m:t>T</m:t>
              </m:r>
            </m:sup>
          </m:sSup>
          <m:r>
            <m:rPr>
              <m:sty m:val="p"/>
            </m:rPr>
            <m:t>−</m:t>
          </m:r>
          <m:r>
            <m:t>K</m:t>
          </m:r>
          <m:sSup>
            <m:e>
              <m:r>
                <m:t>e</m:t>
              </m:r>
            </m:e>
            <m:sup>
              <m:r>
                <m:rPr>
                  <m:sty m:val="p"/>
                </m:rPr>
                <m:t>−</m:t>
              </m:r>
              <m:r>
                <m:t>r</m:t>
              </m:r>
              <m:r>
                <m:t>T</m:t>
              </m:r>
            </m:sup>
          </m:sSup>
          <m:r>
            <m:rPr>
              <m:sty m:val="p"/>
            </m:rPr>
            <m:t>)</m:t>
          </m:r>
          <m:r>
            <m:t>  </m:t>
          </m:r>
          <m:r>
            <m:rPr>
              <m:nor/>
              <m:sty m:val="p"/>
            </m:rPr>
            <m:t>(2)</m:t>
          </m:r>
        </m:oMath>
      </m:oMathPara>
    </w:p>
    <w:p>
      <w:pPr>
        <w:pStyle w:val="FirstParagraph"/>
      </w:pPr>
      <w:r>
        <w:rPr>
          <w:lang w:val="en-US"/>
        </w:rPr>
        <w:t xml:space="preserve">in underlying-currency units per underlying unit, before applying any option-contract multiplier. If prices are stated per contract, every price and parity term must use that same contract basis; equivalently,</w:t>
      </w:r>
      <w:r>
        <w:rPr>
          <w:lang w:val="en-US"/>
        </w:rPr>
        <w:t xml:space="preserve"> </w:t>
      </w:r>
      <m:oMath>
        <m:sSub>
          <m:e>
            <m:r>
              <m:t>R</m:t>
            </m:r>
          </m:e>
          <m:sub>
            <m:r>
              <m:t>c</m:t>
            </m:r>
            <m:r>
              <m:t>o</m:t>
            </m:r>
            <m:r>
              <m:t>n</m:t>
            </m:r>
            <m:r>
              <m:t>t</m:t>
            </m:r>
            <m:r>
              <m:t>r</m:t>
            </m:r>
            <m:r>
              <m:t>a</m:t>
            </m:r>
            <m:r>
              <m:t>c</m:t>
            </m:r>
            <m:r>
              <m:t>t</m:t>
            </m:r>
          </m:sub>
        </m:sSub>
        <m:r>
          <m:rPr>
            <m:sty m:val="p"/>
          </m:rPr>
          <m:t>=</m:t>
        </m:r>
        <m:r>
          <m:t>M</m:t>
        </m:r>
        <m:sSub>
          <m:e>
            <m:r>
              <m:t>R</m:t>
            </m:r>
          </m:e>
          <m:sub>
            <m:r>
              <m:t>u</m:t>
            </m:r>
            <m:r>
              <m:t>n</m:t>
            </m:r>
            <m:r>
              <m:t>i</m:t>
            </m:r>
            <m:r>
              <m:t>t</m:t>
            </m:r>
          </m:sub>
        </m:sSub>
      </m:oMath>
      <w:r>
        <w:rPr>
          <w:lang w:val="en-US"/>
        </w:rPr>
        <w:t xml:space="preserve"> </w:t>
      </w:r>
      <w:r>
        <w:rPr>
          <w:lang w:val="en-US"/>
        </w:rPr>
        <w:t xml:space="preserve">for multiplier</w:t>
      </w:r>
      <w:r>
        <w:rPr>
          <w:lang w:val="en-US"/>
        </w:rPr>
        <w:t xml:space="preserve"> </w:t>
      </w:r>
      <m:oMath>
        <m:r>
          <m:t>M</m:t>
        </m:r>
      </m:oMath>
      <w:r>
        <w:rPr>
          <w:lang w:val="en-US"/>
        </w:rPr>
        <w:t xml:space="preserve">. The yield</w:t>
      </w:r>
      <w:r>
        <w:rPr>
          <w:lang w:val="en-US"/>
        </w:rPr>
        <w:t xml:space="preserve"> </w:t>
      </w:r>
      <m:oMath>
        <m:r>
          <m:t>q</m:t>
        </m:r>
      </m:oMath>
      <w:r>
        <w:rPr>
          <w:lang w:val="en-US"/>
        </w:rPr>
        <w:t xml:space="preserve"> </w:t>
      </w:r>
      <w:r>
        <w:rPr>
          <w:lang w:val="en-US"/>
        </w:rPr>
        <w:t xml:space="preserve">is an effective pricing input, not automatically a stock-borrow fee, funding charge, or crypto funding rate.</w:t>
      </w:r>
    </w:p>
    <w:bookmarkEnd w:id="14"/>
    <w:bookmarkStart w:id="15" w:name="exact-identity-and-local-approximation"/>
    <w:p>
      <w:pPr>
        <w:pStyle w:val="Heading2"/>
      </w:pPr>
      <w:r>
        <w:rPr>
          <w:lang w:val="en-US"/>
        </w:rPr>
        <w:t xml:space="preserve">4. Exact identity and local approximation</w:t>
      </w:r>
    </w:p>
    <w:p>
      <w:pPr>
        <w:pStyle w:val="FirstParagraph"/>
      </w:pPr>
      <w:r>
        <w:rPr>
          <w:lang w:val="en-US"/>
        </w:rPr>
        <w:t xml:space="preserve">Let</w:t>
      </w:r>
      <w:r>
        <w:rPr>
          <w:lang w:val="en-US"/>
        </w:rPr>
        <w:t xml:space="preserve"> </w:t>
      </w:r>
      <m:oMath>
        <m:sSub>
          <m:e>
            <m:r>
              <m:t>C</m:t>
            </m:r>
          </m:e>
          <m:sub>
            <m:r>
              <m:t>B</m:t>
            </m:r>
            <m:r>
              <m:t>S</m:t>
            </m:r>
            <m:r>
              <m:t>M</m:t>
            </m:r>
          </m:sub>
        </m:sSub>
        <m:r>
          <m:rPr>
            <m:sty m:val="p"/>
          </m:rPr>
          <m:t>(</m:t>
        </m:r>
        <m:r>
          <m:t>σ</m:t>
        </m:r>
        <m:r>
          <m:rPr>
            <m:sty m:val="p"/>
          </m:rPr>
          <m:t>)</m:t>
        </m:r>
      </m:oMath>
      <w:r>
        <w:rPr>
          <w:lang w:val="en-US"/>
        </w:rPr>
        <w:t xml:space="preserve"> </w:t>
      </w:r>
      <w:r>
        <w:rPr>
          <w:lang w:val="en-US"/>
        </w:rPr>
        <w:t xml:space="preserve">and</w:t>
      </w:r>
      <w:r>
        <w:rPr>
          <w:lang w:val="en-US"/>
        </w:rPr>
        <w:t xml:space="preserve"> </w:t>
      </w:r>
      <m:oMath>
        <m:sSub>
          <m:e>
            <m:r>
              <m:t>P</m:t>
            </m:r>
          </m:e>
          <m:sub>
            <m:r>
              <m:t>B</m:t>
            </m:r>
            <m:r>
              <m:t>S</m:t>
            </m:r>
            <m:r>
              <m:t>M</m:t>
            </m:r>
          </m:sub>
        </m:sSub>
        <m:r>
          <m:rPr>
            <m:sty m:val="p"/>
          </m:rPr>
          <m:t>(</m:t>
        </m:r>
        <m:r>
          <m:t>σ</m:t>
        </m:r>
        <m:r>
          <m:rPr>
            <m:sty m:val="p"/>
          </m:rPr>
          <m:t>)</m:t>
        </m:r>
      </m:oMath>
      <w:r>
        <w:rPr>
          <w:lang w:val="en-US"/>
        </w:rPr>
        <w:t xml:space="preserve"> </w:t>
      </w:r>
      <w:r>
        <w:rPr>
          <w:lang w:val="en-US"/>
        </w:rPr>
        <w:t xml:space="preserve">be European BSM call and put prices evaluated with the same</w:t>
      </w:r>
      <w:r>
        <w:rPr>
          <w:lang w:val="en-US"/>
        </w:rPr>
        <w:t xml:space="preserve"> </w:t>
      </w:r>
      <m:oMath>
        <m:r>
          <m:rPr>
            <m:sty m:val="p"/>
          </m:rPr>
          <m:t>(</m:t>
        </m:r>
        <m:r>
          <m:t>S</m:t>
        </m:r>
        <m:r>
          <m:rPr>
            <m:sty m:val="p"/>
          </m:rPr>
          <m:t>,</m:t>
        </m:r>
        <m:r>
          <m:t>K</m:t>
        </m:r>
        <m:r>
          <m:rPr>
            <m:sty m:val="p"/>
          </m:rPr>
          <m:t>,</m:t>
        </m:r>
        <m:r>
          <m:t>T</m:t>
        </m:r>
        <m:r>
          <m:rPr>
            <m:sty m:val="p"/>
          </m:rPr>
          <m:t>,</m:t>
        </m:r>
        <m:r>
          <m:t>r</m:t>
        </m:r>
        <m:r>
          <m:rPr>
            <m:sty m:val="p"/>
          </m:rPr>
          <m:t>,</m:t>
        </m:r>
        <m:r>
          <m:t>q</m:t>
        </m:r>
        <m:r>
          <m:rPr>
            <m:sty m:val="p"/>
          </m:rPr>
          <m:t>)</m:t>
        </m:r>
      </m:oMath>
      <w:r>
        <w:rPr>
          <w:lang w:val="en-US"/>
        </w:rPr>
        <w:t xml:space="preserve"> </w:t>
      </w:r>
      <w:r>
        <w:rPr>
          <w:lang w:val="en-US"/>
        </w:rPr>
        <w:t xml:space="preserve">(Black &amp; Scholes, 1973; Merton, 1973). European put–call parity holds at each common volatility, so</w:t>
      </w:r>
    </w:p>
    <w:p>
      <w:pPr>
        <w:pStyle w:val="BodyText"/>
      </w:pPr>
      <m:oMathPara>
        <m:oMathParaPr>
          <m:jc m:val="center"/>
        </m:oMathParaPr>
        <m:oMath>
          <m:eqArr>
            <m:e>
              <m:sSub>
                <m:e>
                  <m:r>
                    <m:t>R</m:t>
                  </m:r>
                </m:e>
                <m:sub>
                  <m:r>
                    <m:t>x</m:t>
                  </m:r>
                </m:sub>
              </m:sSub>
              <m:r>
                <m:t>&amp;</m:t>
              </m:r>
              <m:r>
                <m:rPr>
                  <m:sty m:val="p"/>
                </m:rPr>
                <m:t>=</m:t>
              </m:r>
              <m:sSub>
                <m:e>
                  <m:r>
                    <m:t>C</m:t>
                  </m:r>
                </m:e>
                <m:sub>
                  <m:r>
                    <m:t>B</m:t>
                  </m:r>
                  <m:r>
                    <m:t>S</m:t>
                  </m:r>
                  <m:r>
                    <m:t>M</m:t>
                  </m:r>
                </m:sub>
              </m:sSub>
              <m:r>
                <m:rPr>
                  <m:sty m:val="p"/>
                </m:rPr>
                <m:t>(</m:t>
              </m:r>
              <m:r>
                <m:t>x</m:t>
              </m:r>
              <m:r>
                <m:rPr>
                  <m:sty m:val="p"/>
                </m:rPr>
                <m:t>,</m:t>
              </m:r>
              <m:sSub>
                <m:e>
                  <m:r>
                    <m:t>σ</m:t>
                  </m:r>
                </m:e>
                <m:sub>
                  <m:r>
                    <m:t>C</m:t>
                  </m:r>
                </m:sub>
              </m:sSub>
              <m:r>
                <m:rPr>
                  <m:sty m:val="p"/>
                </m:rPr>
                <m:t>)</m:t>
              </m:r>
              <m:r>
                <m:rPr>
                  <m:sty m:val="p"/>
                </m:rPr>
                <m:t>−</m:t>
              </m:r>
              <m:sSub>
                <m:e>
                  <m:r>
                    <m:t>P</m:t>
                  </m:r>
                </m:e>
                <m:sub>
                  <m:r>
                    <m:t>B</m:t>
                  </m:r>
                  <m:r>
                    <m:t>S</m:t>
                  </m:r>
                  <m:r>
                    <m:t>M</m:t>
                  </m:r>
                </m:sub>
              </m:sSub>
              <m:r>
                <m:rPr>
                  <m:sty m:val="p"/>
                </m:rPr>
                <m:t>(</m:t>
              </m:r>
              <m:r>
                <m:t>x</m:t>
              </m:r>
              <m:r>
                <m:rPr>
                  <m:sty m:val="p"/>
                </m:rPr>
                <m:t>,</m:t>
              </m:r>
              <m:sSub>
                <m:e>
                  <m:r>
                    <m:t>σ</m:t>
                  </m:r>
                </m:e>
                <m:sub>
                  <m:r>
                    <m:t>P</m:t>
                  </m:r>
                </m:sub>
              </m:sSub>
              <m:r>
                <m:rPr>
                  <m:sty m:val="p"/>
                </m:rPr>
                <m:t>)</m:t>
              </m:r>
              <m:r>
                <m:rPr>
                  <m:sty m:val="p"/>
                </m:rPr>
                <m:t>−</m:t>
              </m:r>
              <m:r>
                <m:t>A</m:t>
              </m:r>
              <m:r>
                <m:rPr>
                  <m:sty m:val="p"/>
                </m:rPr>
                <m:t>(</m:t>
              </m:r>
              <m:r>
                <m:t>x</m:t>
              </m:r>
              <m:r>
                <m:rPr>
                  <m:sty m:val="p"/>
                </m:rPr>
                <m:t>)</m:t>
              </m:r>
            </m:e>
            <m:e>
              <m:r>
                <m:t>&amp;</m:t>
              </m:r>
              <m:r>
                <m:rPr>
                  <m:sty m:val="p"/>
                </m:rPr>
                <m:t>=</m:t>
              </m:r>
              <m:sSub>
                <m:e>
                  <m:r>
                    <m:t>C</m:t>
                  </m:r>
                </m:e>
                <m:sub>
                  <m:r>
                    <m:t>B</m:t>
                  </m:r>
                  <m:r>
                    <m:t>S</m:t>
                  </m:r>
                  <m:r>
                    <m:t>M</m:t>
                  </m:r>
                </m:sub>
              </m:sSub>
              <m:r>
                <m:rPr>
                  <m:sty m:val="p"/>
                </m:rPr>
                <m:t>(</m:t>
              </m:r>
              <m:r>
                <m:t>x</m:t>
              </m:r>
              <m:r>
                <m:rPr>
                  <m:sty m:val="p"/>
                </m:rPr>
                <m:t>,</m:t>
              </m:r>
              <m:sSub>
                <m:e>
                  <m:r>
                    <m:t>σ</m:t>
                  </m:r>
                </m:e>
                <m:sub>
                  <m:r>
                    <m:t>C</m:t>
                  </m:r>
                </m:sub>
              </m:sSub>
              <m:r>
                <m:rPr>
                  <m:sty m:val="p"/>
                </m:rPr>
                <m:t>)</m:t>
              </m:r>
              <m:r>
                <m:rPr>
                  <m:sty m:val="p"/>
                </m:rPr>
                <m:t>−</m:t>
              </m:r>
              <m:sSub>
                <m:e>
                  <m:r>
                    <m:t>C</m:t>
                  </m:r>
                </m:e>
                <m:sub>
                  <m:r>
                    <m:t>B</m:t>
                  </m:r>
                  <m:r>
                    <m:t>S</m:t>
                  </m:r>
                  <m:r>
                    <m:t>M</m:t>
                  </m:r>
                </m:sub>
              </m:sSub>
              <m:r>
                <m:rPr>
                  <m:sty m:val="p"/>
                </m:rPr>
                <m:t>(</m:t>
              </m:r>
              <m:r>
                <m:t>x</m:t>
              </m:r>
              <m:r>
                <m:rPr>
                  <m:sty m:val="p"/>
                </m:rPr>
                <m:t>,</m:t>
              </m:r>
              <m:sSub>
                <m:e>
                  <m:r>
                    <m:t>σ</m:t>
                  </m:r>
                </m:e>
                <m:sub>
                  <m:r>
                    <m:t>P</m:t>
                  </m:r>
                </m:sub>
              </m:sSub>
              <m:r>
                <m:rPr>
                  <m:sty m:val="p"/>
                </m:rPr>
                <m:t>)</m:t>
              </m:r>
            </m:e>
            <m:e>
              <m:r>
                <m:t>&amp;</m:t>
              </m:r>
              <m:r>
                <m:rPr>
                  <m:sty m:val="p"/>
                </m:rPr>
                <m:t>=</m:t>
              </m:r>
              <m:nary>
                <m:naryPr>
                  <m:chr m:val="∫"/>
                  <m:limLoc m:val="subSup"/>
                  <m:subHide m:val="off"/>
                  <m:supHide m:val="off"/>
                </m:naryPr>
                <m:sub>
                  <m:sSub>
                    <m:e>
                      <m:r>
                        <m:t>σ</m:t>
                      </m:r>
                    </m:e>
                    <m:sub>
                      <m:r>
                        <m:t>P</m:t>
                      </m:r>
                    </m:sub>
                  </m:sSub>
                </m:sub>
                <m:sup>
                  <m:sSub>
                    <m:e>
                      <m:r>
                        <m:t>σ</m:t>
                      </m:r>
                    </m:e>
                    <m:sub>
                      <m:r>
                        <m:t>C</m:t>
                      </m:r>
                    </m:sub>
                  </m:sSub>
                </m:sup>
                <m:e>
                  <m:r>
                    <m:t>ν</m:t>
                  </m:r>
                </m:e>
              </m:nary>
              <m:r>
                <m:rPr>
                  <m:sty m:val="p"/>
                </m:rPr>
                <m:t>(</m:t>
              </m:r>
              <m:r>
                <m:t>x</m:t>
              </m:r>
              <m:r>
                <m:rPr>
                  <m:sty m:val="p"/>
                </m:rPr>
                <m:t>,</m:t>
              </m:r>
              <m:r>
                <m:t>u</m:t>
              </m:r>
              <m:r>
                <m:rPr>
                  <m:sty m:val="p"/>
                </m:rPr>
                <m:t>)</m:t>
              </m:r>
              <m:r>
                <m:t> </m:t>
              </m:r>
              <m:r>
                <m:t>d</m:t>
              </m:r>
              <m:r>
                <m:t>u</m:t>
              </m:r>
            </m:e>
            <m:e>
              <m:r>
                <m:t>&amp;</m:t>
              </m:r>
              <m:r>
                <m:rPr>
                  <m:sty m:val="p"/>
                </m:rPr>
                <m:t>=</m:t>
              </m:r>
              <m:r>
                <m:rPr>
                  <m:sty m:val="p"/>
                </m:rPr>
                <m:t>(</m:t>
              </m:r>
              <m:sSub>
                <m:e>
                  <m:r>
                    <m:t>σ</m:t>
                  </m:r>
                </m:e>
                <m:sub>
                  <m:r>
                    <m:t>C</m:t>
                  </m:r>
                </m:sub>
              </m:sSub>
              <m:r>
                <m:rPr>
                  <m:sty m:val="p"/>
                </m:rPr>
                <m:t>−</m:t>
              </m:r>
              <m:sSub>
                <m:e>
                  <m:r>
                    <m:t>σ</m:t>
                  </m:r>
                </m:e>
                <m:sub>
                  <m:r>
                    <m:t>P</m:t>
                  </m:r>
                </m:sub>
              </m:sSub>
              <m:r>
                <m:rPr>
                  <m:sty m:val="p"/>
                </m:rPr>
                <m:t>)</m:t>
              </m:r>
              <m:r>
                <m:t> </m:t>
              </m:r>
              <m:acc>
                <m:accPr>
                  <m:chr m:val="‾"/>
                </m:accPr>
                <m:e>
                  <m:r>
                    <m:t>ν</m:t>
                  </m:r>
                </m:e>
              </m:acc>
              <m:r>
                <m:rPr>
                  <m:sty m:val="p"/>
                </m:rPr>
                <m:t>(</m:t>
              </m:r>
              <m:r>
                <m:t>x</m:t>
              </m:r>
              <m:r>
                <m:rPr>
                  <m:sty m:val="p"/>
                </m:rPr>
                <m:t>)</m:t>
              </m:r>
              <m:r>
                <m:t>  </m:t>
              </m:r>
              <m:r>
                <m:rPr>
                  <m:nor/>
                  <m:sty m:val="p"/>
                </m:rPr>
                <m:t>(3)</m:t>
              </m:r>
              <m:r>
                <m:rPr>
                  <m:sty m:val="p"/>
                </m:rPr>
                <m:t>,</m:t>
              </m:r>
            </m:e>
          </m:eqArr>
        </m:oMath>
      </m:oMathPara>
    </w:p>
    <w:p>
      <w:pPr>
        <w:pStyle w:val="FirstParagraph"/>
      </w:pPr>
      <w:r>
        <w:rPr>
          <w:lang w:val="en-US"/>
        </w:rPr>
        <w:t xml:space="preserve">Here</w:t>
      </w:r>
      <w:r>
        <w:rPr>
          <w:lang w:val="en-US"/>
        </w:rPr>
        <w:t xml:space="preserve"> </w:t>
      </w:r>
      <m:oMath>
        <m:r>
          <m:t>x</m:t>
        </m:r>
        <m:r>
          <m:rPr>
            <m:sty m:val="p"/>
          </m:rPr>
          <m:t>=</m:t>
        </m:r>
        <m:r>
          <m:rPr>
            <m:sty m:val="p"/>
          </m:rPr>
          <m:t>(</m:t>
        </m:r>
        <m:r>
          <m:t>S</m:t>
        </m:r>
        <m:r>
          <m:rPr>
            <m:sty m:val="p"/>
          </m:rPr>
          <m:t>,</m:t>
        </m:r>
        <m:r>
          <m:t>K</m:t>
        </m:r>
        <m:r>
          <m:rPr>
            <m:sty m:val="p"/>
          </m:rPr>
          <m:t>,</m:t>
        </m:r>
        <m:r>
          <m:t>T</m:t>
        </m:r>
        <m:r>
          <m:rPr>
            <m:sty m:val="p"/>
          </m:rPr>
          <m:t>,</m:t>
        </m:r>
        <m:r>
          <m:t>r</m:t>
        </m:r>
        <m:r>
          <m:rPr>
            <m:sty m:val="p"/>
          </m:rPr>
          <m:t>,</m:t>
        </m:r>
        <m:r>
          <m:t>q</m:t>
        </m:r>
        <m:r>
          <m:rPr>
            <m:sty m:val="p"/>
          </m:rPr>
          <m:t>)</m:t>
        </m:r>
      </m:oMath>
      <w:r>
        <w:rPr>
          <w:lang w:val="en-US"/>
        </w:rPr>
        <w:t xml:space="preserve">,</w:t>
      </w:r>
      <w:r>
        <w:rPr>
          <w:lang w:val="en-US"/>
        </w:rPr>
        <w:t xml:space="preserve"> </w:t>
      </w:r>
      <m:oMath>
        <m:r>
          <m:t>A</m:t>
        </m:r>
        <m:r>
          <m:rPr>
            <m:sty m:val="p"/>
          </m:rPr>
          <m:t>(</m:t>
        </m:r>
        <m:r>
          <m:t>x</m:t>
        </m:r>
        <m:r>
          <m:rPr>
            <m:sty m:val="p"/>
          </m:rPr>
          <m:t>)</m:t>
        </m:r>
        <m:r>
          <m:rPr>
            <m:sty m:val="p"/>
          </m:rPr>
          <m:t>=</m:t>
        </m:r>
        <m:r>
          <m:t>S</m:t>
        </m:r>
        <m:sSup>
          <m:e>
            <m:r>
              <m:t>e</m:t>
            </m:r>
          </m:e>
          <m:sup>
            <m:r>
              <m:rPr>
                <m:sty m:val="p"/>
              </m:rPr>
              <m:t>−</m:t>
            </m:r>
            <m:r>
              <m:t>q</m:t>
            </m:r>
            <m:r>
              <m:t>T</m:t>
            </m:r>
          </m:sup>
        </m:sSup>
        <m:r>
          <m:rPr>
            <m:sty m:val="p"/>
          </m:rPr>
          <m:t>−</m:t>
        </m:r>
        <m:r>
          <m:t>K</m:t>
        </m:r>
        <m:sSup>
          <m:e>
            <m:r>
              <m:t>e</m:t>
            </m:r>
          </m:e>
          <m:sup>
            <m:r>
              <m:rPr>
                <m:sty m:val="p"/>
              </m:rPr>
              <m:t>−</m:t>
            </m:r>
            <m:r>
              <m:t>r</m:t>
            </m:r>
            <m:r>
              <m:t>T</m:t>
            </m:r>
          </m:sup>
        </m:sSup>
      </m:oMath>
      <w:r>
        <w:rPr>
          <w:lang w:val="en-US"/>
        </w:rPr>
        <w:t xml:space="preserve">, and</w:t>
      </w:r>
      <w:r>
        <w:rPr>
          <w:lang w:val="en-US"/>
        </w:rPr>
        <w:t xml:space="preserve"> </w:t>
      </w:r>
      <m:oMath>
        <m:r>
          <m:t>ν</m:t>
        </m:r>
        <m:r>
          <m:rPr>
            <m:sty m:val="p"/>
          </m:rPr>
          <m:t>(</m:t>
        </m:r>
        <m:r>
          <m:t>x</m:t>
        </m:r>
        <m:r>
          <m:rPr>
            <m:sty m:val="p"/>
          </m:rPr>
          <m:t>,</m:t>
        </m:r>
        <m:r>
          <m:t>u</m:t>
        </m:r>
        <m:r>
          <m:rPr>
            <m:sty m:val="p"/>
          </m:rPr>
          <m:t>)</m:t>
        </m:r>
        <m:r>
          <m:rPr>
            <m:sty m:val="p"/>
          </m:rPr>
          <m:t>=</m:t>
        </m:r>
        <m:r>
          <m:rPr>
            <m:sty m:val="p"/>
          </m:rPr>
          <m:t>∂</m:t>
        </m:r>
        <m:sSub>
          <m:e>
            <m:r>
              <m:t>C</m:t>
            </m:r>
          </m:e>
          <m:sub>
            <m:r>
              <m:t>B</m:t>
            </m:r>
            <m:r>
              <m:t>S</m:t>
            </m:r>
            <m:r>
              <m:t>M</m:t>
            </m:r>
          </m:sub>
        </m:sSub>
        <m:r>
          <m:rPr>
            <m:sty m:val="p"/>
          </m:rPr>
          <m:t>(</m:t>
        </m:r>
        <m:r>
          <m:t>x</m:t>
        </m:r>
        <m:r>
          <m:rPr>
            <m:sty m:val="p"/>
          </m:rPr>
          <m:t>,</m:t>
        </m:r>
        <m:r>
          <m:t>u</m:t>
        </m:r>
        <m:r>
          <m:rPr>
            <m:sty m:val="p"/>
          </m:rPr>
          <m:t>)</m:t>
        </m:r>
        <m:r>
          <m:rPr>
            <m:sty m:val="p"/>
          </m:rPr>
          <m:t>/</m:t>
        </m:r>
        <m:r>
          <m:rPr>
            <m:sty m:val="p"/>
          </m:rPr>
          <m:t>∂</m:t>
        </m:r>
        <m:r>
          <m:t>u</m:t>
        </m:r>
      </m:oMath>
      <w:r>
        <w:rPr>
          <w:lang w:val="en-US"/>
        </w:rPr>
        <w:t xml:space="preserve">, in currency units per one full decimal-volatility unit. Define the path-average vega by</w:t>
      </w:r>
    </w:p>
    <w:p>
      <w:pPr>
        <w:pStyle w:val="BodyText"/>
      </w:pPr>
      <m:oMathPara>
        <m:oMathParaPr>
          <m:jc m:val="center"/>
        </m:oMathParaPr>
        <m:oMath>
          <m:acc>
            <m:accPr>
              <m:chr m:val="‾"/>
            </m:accPr>
            <m:e>
              <m:r>
                <m:t>ν</m:t>
              </m:r>
            </m:e>
          </m:acc>
          <m:r>
            <m:rPr>
              <m:sty m:val="p"/>
            </m:rPr>
            <m:t>(</m:t>
          </m:r>
          <m:r>
            <m:t>x</m:t>
          </m:r>
          <m:r>
            <m:rPr>
              <m:sty m:val="p"/>
            </m:rPr>
            <m:t>)</m:t>
          </m:r>
          <m:r>
            <m:rPr>
              <m:sty m:val="p"/>
            </m:rPr>
            <m:t>=</m:t>
          </m:r>
          <m:nary>
            <m:naryPr>
              <m:chr m:val="∫"/>
              <m:limLoc m:val="subSup"/>
              <m:subHide m:val="off"/>
              <m:supHide m:val="off"/>
            </m:naryPr>
            <m:sub>
              <m:r>
                <m:t>0</m:t>
              </m:r>
            </m:sub>
            <m:sup>
              <m:r>
                <m:t>1</m:t>
              </m:r>
            </m:sup>
            <m:e>
              <m:r>
                <m:t>ν</m:t>
              </m:r>
            </m:e>
          </m:nary>
          <m:r>
            <m:t>​</m:t>
          </m:r>
          <m:d>
            <m:dPr>
              <m:begChr m:val="("/>
              <m:sepChr m:val=""/>
              <m:endChr m:val=")"/>
              <m:grow/>
            </m:dPr>
            <m:e>
              <m:r>
                <m:t>x</m:t>
              </m:r>
              <m:r>
                <m:rPr>
                  <m:sty m:val="p"/>
                </m:rPr>
                <m:t>,</m:t>
              </m:r>
              <m:sSub>
                <m:e>
                  <m:r>
                    <m:t>σ</m:t>
                  </m:r>
                </m:e>
                <m:sub>
                  <m:r>
                    <m:t>P</m:t>
                  </m:r>
                </m:sub>
              </m:sSub>
              <m:r>
                <m:rPr>
                  <m:sty m:val="p"/>
                </m:rPr>
                <m:t>+</m:t>
              </m:r>
              <m:r>
                <m:t>λ</m:t>
              </m:r>
              <m:r>
                <m:rPr>
                  <m:sty m:val="p"/>
                </m:rPr>
                <m:t>(</m:t>
              </m:r>
              <m:sSub>
                <m:e>
                  <m:r>
                    <m:t>σ</m:t>
                  </m:r>
                </m:e>
                <m:sub>
                  <m:r>
                    <m:t>C</m:t>
                  </m:r>
                </m:sub>
              </m:sSub>
              <m:r>
                <m:rPr>
                  <m:sty m:val="p"/>
                </m:rPr>
                <m:t>−</m:t>
              </m:r>
              <m:sSub>
                <m:e>
                  <m:r>
                    <m:t>σ</m:t>
                  </m:r>
                </m:e>
                <m:sub>
                  <m:r>
                    <m:t>P</m:t>
                  </m:r>
                </m:sub>
              </m:sSub>
              <m:r>
                <m:rPr>
                  <m:sty m:val="p"/>
                </m:rPr>
                <m:t>)</m:t>
              </m:r>
            </m:e>
          </m:d>
          <m:r>
            <m:t>d</m:t>
          </m:r>
          <m:r>
            <m:t>λ</m:t>
          </m:r>
          <m:r>
            <m:t>  </m:t>
          </m:r>
          <m:r>
            <m:rPr>
              <m:nor/>
              <m:sty m:val="p"/>
            </m:rPr>
            <m:t>(4)</m:t>
          </m:r>
          <m:r>
            <m:rPr>
              <m:sty m:val="p"/>
            </m:rPr>
            <m:t>.</m:t>
          </m:r>
        </m:oMath>
      </m:oMathPara>
    </w:p>
    <w:p>
      <w:pPr>
        <w:pStyle w:val="FirstParagraph"/>
      </w:pPr>
      <w:r>
        <w:rPr>
          <w:lang w:val="en-US"/>
        </w:rPr>
        <w:t xml:space="preserve">This definition also applies when the endpoints coincide: then</w:t>
      </w:r>
      <w:r>
        <w:rPr>
          <w:lang w:val="en-US"/>
        </w:rPr>
        <w:t xml:space="preserve"> </w:t>
      </w:r>
      <m:oMath>
        <m:acc>
          <m:accPr>
            <m:chr m:val="‾"/>
          </m:accPr>
          <m:e>
            <m:r>
              <m:t>ν</m:t>
            </m:r>
          </m:e>
        </m:acc>
        <m:r>
          <m:rPr>
            <m:sty m:val="p"/>
          </m:rPr>
          <m:t>=</m:t>
        </m:r>
        <m:r>
          <m:t>ν</m:t>
        </m:r>
        <m:r>
          <m:rPr>
            <m:sty m:val="p"/>
          </m:rPr>
          <m:t>(</m:t>
        </m:r>
        <m:r>
          <m:t>x</m:t>
        </m:r>
        <m:r>
          <m:rPr>
            <m:sty m:val="p"/>
          </m:rPr>
          <m:t>,</m:t>
        </m:r>
        <m:sSub>
          <m:e>
            <m:r>
              <m:t>σ</m:t>
            </m:r>
          </m:e>
          <m:sub>
            <m:r>
              <m:t>C</m:t>
            </m:r>
          </m:sub>
        </m:sSub>
        <m:r>
          <m:rPr>
            <m:sty m:val="p"/>
          </m:rPr>
          <m:t>)</m:t>
        </m:r>
      </m:oMath>
      <w:r>
        <w:rPr>
          <w:lang w:val="en-US"/>
        </w:rPr>
        <w:t xml:space="preserve">. The integral is oriented and changes sign with</w:t>
      </w:r>
      <w:r>
        <w:rPr>
          <w:lang w:val="en-US"/>
        </w:rPr>
        <w:t xml:space="preserve"> </w:t>
      </w:r>
      <m:oMath>
        <m:sSub>
          <m:e>
            <m:r>
              <m:t>σ</m:t>
            </m:r>
          </m:e>
          <m:sub>
            <m:r>
              <m:t>C</m:t>
            </m:r>
          </m:sub>
        </m:sSub>
        <m:r>
          <m:rPr>
            <m:sty m:val="p"/>
          </m:rPr>
          <m:t>−</m:t>
        </m:r>
        <m:sSub>
          <m:e>
            <m:r>
              <m:t>σ</m:t>
            </m:r>
          </m:e>
          <m:sub>
            <m:r>
              <m:t>P</m:t>
            </m:r>
          </m:sub>
        </m:sSub>
      </m:oMath>
      <w:r>
        <w:rPr>
          <w:lang w:val="en-US"/>
        </w:rPr>
        <w:t xml:space="preserve">. For admissible finite roots with positive average vega, the exact relation is</w:t>
      </w:r>
      <w:r>
        <w:rPr>
          <w:lang w:val="en-US"/>
        </w:rPr>
        <w:t xml:space="preserve"> </w:t>
      </w:r>
      <m:oMath>
        <m:r>
          <m:t>C</m:t>
        </m:r>
        <m:r>
          <m:t>P</m:t>
        </m:r>
        <m:r>
          <m:t>I</m:t>
        </m:r>
        <m:sSub>
          <m:e>
            <m:r>
              <m:t>V</m:t>
            </m:r>
          </m:e>
          <m:sub>
            <m:r>
              <m:t>p</m:t>
            </m:r>
            <m:r>
              <m:t>p</m:t>
            </m:r>
          </m:sub>
        </m:sSub>
        <m:r>
          <m:rPr>
            <m:sty m:val="p"/>
          </m:rPr>
          <m:t>=</m:t>
        </m:r>
        <m:r>
          <m:t>100</m:t>
        </m:r>
        <m:sSub>
          <m:e>
            <m:r>
              <m:t>R</m:t>
            </m:r>
          </m:e>
          <m:sub>
            <m:r>
              <m:t>x</m:t>
            </m:r>
          </m:sub>
        </m:sSub>
        <m:r>
          <m:rPr>
            <m:sty m:val="p"/>
          </m:rPr>
          <m:t>/</m:t>
        </m:r>
        <m:acc>
          <m:accPr>
            <m:chr m:val="‾"/>
          </m:accPr>
          <m:e>
            <m:r>
              <m:t>ν</m:t>
            </m:r>
          </m:e>
        </m:acc>
        <m:r>
          <m:rPr>
            <m:sty m:val="p"/>
          </m:rPr>
          <m:t>(</m:t>
        </m:r>
        <m:r>
          <m:t>x</m:t>
        </m:r>
        <m:r>
          <m:rPr>
            <m:sty m:val="p"/>
          </m:rPr>
          <m:t>)</m:t>
        </m:r>
      </m:oMath>
      <w:r>
        <w:rPr>
          <w:lang w:val="en-US"/>
        </w:rPr>
        <w:t xml:space="preserve">, including the zero-spread case, where both numerator and CPIV are zero.</w:t>
      </w:r>
    </w:p>
    <w:p>
      <w:pPr>
        <w:pStyle w:val="BodyText"/>
      </w:pPr>
      <w:r>
        <w:rPr>
          <w:lang w:val="en-US"/>
        </w:rPr>
        <w:t xml:space="preserve">For a selected reference volatility</w:t>
      </w:r>
      <w:r>
        <w:rPr>
          <w:lang w:val="en-US"/>
        </w:rPr>
        <w:t xml:space="preserve"> </w:t>
      </w:r>
      <m:oMath>
        <m:sSub>
          <m:e>
            <m:r>
              <m:t>σ</m:t>
            </m:r>
          </m:e>
          <m:sub>
            <m:r>
              <m:t>0</m:t>
            </m:r>
          </m:sub>
        </m:sSub>
      </m:oMath>
      <w:r>
        <w:rPr>
          <w:lang w:val="en-US"/>
        </w:rPr>
        <w:t xml:space="preserve">, a local approximation replaces path-average vega with point vega:</w:t>
      </w:r>
    </w:p>
    <w:p>
      <w:pPr>
        <w:pStyle w:val="BodyText"/>
      </w:pPr>
      <m:oMathPara>
        <m:oMathParaPr>
          <m:jc m:val="center"/>
        </m:oMathParaPr>
        <m:oMath>
          <m:r>
            <m:t>C</m:t>
          </m:r>
          <m:r>
            <m:t>P</m:t>
          </m:r>
          <m:r>
            <m:t>I</m:t>
          </m:r>
          <m:sSub>
            <m:e>
              <m:r>
                <m:t>V</m:t>
              </m:r>
            </m:e>
            <m:sub>
              <m:r>
                <m:t>p</m:t>
              </m:r>
              <m:r>
                <m:t>p</m:t>
              </m:r>
            </m:sub>
          </m:sSub>
          <m:r>
            <m:rPr>
              <m:sty m:val="p"/>
            </m:rPr>
            <m:t>≈</m:t>
          </m:r>
          <m:f>
            <m:fPr>
              <m:type m:val="bar"/>
            </m:fPr>
            <m:num>
              <m:r>
                <m:t>100</m:t>
              </m:r>
              <m:sSub>
                <m:e>
                  <m:r>
                    <m:t>R</m:t>
                  </m:r>
                </m:e>
                <m:sub>
                  <m:r>
                    <m:t>x</m:t>
                  </m:r>
                </m:sub>
              </m:sSub>
            </m:num>
            <m:den>
              <m:r>
                <m:t>ν</m:t>
              </m:r>
              <m:r>
                <m:rPr>
                  <m:sty m:val="p"/>
                </m:rPr>
                <m:t>(</m:t>
              </m:r>
              <m:r>
                <m:t>x</m:t>
              </m:r>
              <m:r>
                <m:rPr>
                  <m:sty m:val="p"/>
                </m:rPr>
                <m:t>,</m:t>
              </m:r>
              <m:sSub>
                <m:e>
                  <m:r>
                    <m:t>σ</m:t>
                  </m:r>
                </m:e>
                <m:sub>
                  <m:r>
                    <m:t>0</m:t>
                  </m:r>
                </m:sub>
              </m:sSub>
              <m:r>
                <m:rPr>
                  <m:sty m:val="p"/>
                </m:rPr>
                <m:t>)</m:t>
              </m:r>
            </m:den>
          </m:f>
          <m:r>
            <m:t>  </m:t>
          </m:r>
          <m:r>
            <m:rPr>
              <m:nor/>
              <m:sty m:val="p"/>
            </m:rPr>
            <m:t>(5)</m:t>
          </m:r>
          <m:r>
            <m:rPr>
              <m:sty m:val="p"/>
            </m:rPr>
            <m:t>.</m:t>
          </m:r>
        </m:oMath>
      </m:oMathPara>
    </w:p>
    <w:p>
      <w:pPr>
        <w:pStyle w:val="FirstParagraph"/>
      </w:pPr>
      <w:r>
        <w:rPr>
          <w:lang w:val="en-US"/>
        </w:rPr>
        <w:t xml:space="preserve">When vega is reported per one volatility percentage point,</w:t>
      </w:r>
      <w:r>
        <w:rPr>
          <w:lang w:val="en-US"/>
        </w:rPr>
        <w:t xml:space="preserve"> </w:t>
      </w:r>
      <m:oMath>
        <m:sSub>
          <m:e>
            <m:r>
              <m:t>ν</m:t>
            </m:r>
          </m:e>
          <m:sub>
            <m:r>
              <m:t>p</m:t>
            </m:r>
            <m:r>
              <m:t>p</m:t>
            </m:r>
          </m:sub>
        </m:sSub>
        <m:r>
          <m:rPr>
            <m:sty m:val="p"/>
          </m:rPr>
          <m:t>=</m:t>
        </m:r>
        <m:r>
          <m:t>ν</m:t>
        </m:r>
        <m:r>
          <m:rPr>
            <m:sty m:val="p"/>
          </m:rPr>
          <m:t>/</m:t>
        </m:r>
        <m:r>
          <m:t>100</m:t>
        </m:r>
      </m:oMath>
      <w:r>
        <w:rPr>
          <w:lang w:val="en-US"/>
        </w:rPr>
        <w:t xml:space="preserve">, the approximation is</w:t>
      </w:r>
      <w:r>
        <w:rPr>
          <w:lang w:val="en-US"/>
        </w:rPr>
        <w:t xml:space="preserve"> </w:t>
      </w:r>
      <m:oMath>
        <m:r>
          <m:t>C</m:t>
        </m:r>
        <m:r>
          <m:t>P</m:t>
        </m:r>
        <m:r>
          <m:t>I</m:t>
        </m:r>
        <m:sSub>
          <m:e>
            <m:r>
              <m:t>V</m:t>
            </m:r>
          </m:e>
          <m:sub>
            <m:r>
              <m:t>p</m:t>
            </m:r>
            <m:r>
              <m:t>p</m:t>
            </m:r>
          </m:sub>
        </m:sSub>
        <m:r>
          <m:rPr>
            <m:sty m:val="p"/>
          </m:rPr>
          <m:t>≈</m:t>
        </m:r>
        <m:sSub>
          <m:e>
            <m:r>
              <m:t>R</m:t>
            </m:r>
          </m:e>
          <m:sub>
            <m:r>
              <m:t>x</m:t>
            </m:r>
          </m:sub>
        </m:sSub>
        <m:r>
          <m:rPr>
            <m:sty m:val="p"/>
          </m:rPr>
          <m:t>/</m:t>
        </m:r>
        <m:sSub>
          <m:e>
            <m:r>
              <m:t>ν</m:t>
            </m:r>
          </m:e>
          <m:sub>
            <m:r>
              <m:t>p</m:t>
            </m:r>
            <m:r>
              <m:t>p</m:t>
            </m:r>
          </m:sub>
        </m:sSub>
        <m:r>
          <m:rPr>
            <m:sty m:val="p"/>
          </m:rPr>
          <m:t>(</m:t>
        </m:r>
        <m:r>
          <m:t>x</m:t>
        </m:r>
        <m:r>
          <m:rPr>
            <m:sty m:val="p"/>
          </m:rPr>
          <m:t>,</m:t>
        </m:r>
        <m:sSub>
          <m:e>
            <m:r>
              <m:t>σ</m:t>
            </m:r>
          </m:e>
          <m:sub>
            <m:r>
              <m:t>0</m:t>
            </m:r>
          </m:sub>
        </m:sSub>
        <m:r>
          <m:rPr>
            <m:sty m:val="p"/>
          </m:rPr>
          <m:t>)</m:t>
        </m:r>
      </m:oMath>
      <w:r>
        <w:rPr>
          <w:lang w:val="en-US"/>
        </w:rPr>
        <w:t xml:space="preserve">. The exact identity makes CPIV and the residual algebraically dependent, not independently validating. It does not attribute a market residual to information or trading; synchronization, exercise style, carry inputs, price discreteness, and model mismatch affect economic interpretation.</w:t>
      </w:r>
    </w:p>
    <w:p>
      <w:pPr>
        <w:pStyle w:val="BodyText"/>
      </w:pPr>
      <w:r>
        <w:rPr>
          <w:lang w:val="en-US"/>
        </w:rPr>
        <w:t xml:space="preserve">The BSM formula is used as an inversion map. The identity holds for any admissible input prices that are each inverted through that same European-BSM map with the same</w:t>
      </w:r>
      <w:r>
        <w:rPr>
          <w:lang w:val="en-US"/>
        </w:rPr>
        <w:t xml:space="preserve"> </w:t>
      </w:r>
      <m:oMath>
        <m:r>
          <m:t>x</m:t>
        </m:r>
      </m:oMath>
      <w:r>
        <w:rPr>
          <w:lang w:val="en-US"/>
        </w:rPr>
        <w:t xml:space="preserve">, and whose residual uses that same</w:t>
      </w:r>
      <w:r>
        <w:rPr>
          <w:lang w:val="en-US"/>
        </w:rPr>
        <w:t xml:space="preserve"> </w:t>
      </w:r>
      <m:oMath>
        <m:r>
          <m:t>x</m:t>
        </m:r>
      </m:oMath>
      <w:r>
        <w:rPr>
          <w:lang w:val="en-US"/>
        </w:rPr>
        <w:t xml:space="preserve">; the price origin need not be European BSM. American exercise, a stale source spot, or another pricing model can change the residual’s economic interpretation without breaking this map identity. The identity in this form does not apply when the legs use different contract/market inputs, either IV root fails to exist, or the residual uses inputs different from those used for inversion. European parity remains a separate no-arbitrage statement, not a claim about the origin of observed prices.</w:t>
      </w:r>
    </w:p>
    <w:bookmarkEnd w:id="15"/>
    <w:bookmarkStart w:id="16" w:name="inversion-and-numerical-contract"/>
    <w:p>
      <w:pPr>
        <w:pStyle w:val="Heading2"/>
      </w:pPr>
      <w:r>
        <w:rPr>
          <w:lang w:val="en-US"/>
        </w:rPr>
        <w:t xml:space="preserve">5. Inversion and numerical contract</w:t>
      </w:r>
    </w:p>
    <w:p>
      <w:pPr>
        <w:pStyle w:val="FirstParagraph"/>
      </w:pPr>
      <w:r>
        <w:rPr>
          <w:lang w:val="en-US"/>
        </w:rPr>
        <w:t xml:space="preserve">For European prices, the admissible intervals used by the implementation are</w:t>
      </w:r>
    </w:p>
    <w:p>
      <w:pPr>
        <w:pStyle w:val="BodyText"/>
      </w:pPr>
      <m:oMathPara>
        <m:oMathParaPr>
          <m:jc m:val="center"/>
        </m:oMathParaPr>
        <m:oMath>
          <m:r>
            <m:rPr>
              <m:sty m:val="p"/>
            </m:rPr>
            <m:t>max</m:t>
          </m:r>
          <m:r>
            <m:rPr>
              <m:sty m:val="p"/>
            </m:rPr>
            <m:t>(</m:t>
          </m:r>
          <m:r>
            <m:t>S</m:t>
          </m:r>
          <m:sSup>
            <m:e>
              <m:r>
                <m:t>e</m:t>
              </m:r>
            </m:e>
            <m:sup>
              <m:r>
                <m:rPr>
                  <m:sty m:val="p"/>
                </m:rPr>
                <m:t>−</m:t>
              </m:r>
              <m:r>
                <m:t>q</m:t>
              </m:r>
              <m:r>
                <m:t>T</m:t>
              </m:r>
            </m:sup>
          </m:sSup>
          <m:r>
            <m:rPr>
              <m:sty m:val="p"/>
            </m:rPr>
            <m:t>−</m:t>
          </m:r>
          <m:r>
            <m:t>K</m:t>
          </m:r>
          <m:sSup>
            <m:e>
              <m:r>
                <m:t>e</m:t>
              </m:r>
            </m:e>
            <m:sup>
              <m:r>
                <m:rPr>
                  <m:sty m:val="p"/>
                </m:rPr>
                <m:t>−</m:t>
              </m:r>
              <m:r>
                <m:t>r</m:t>
              </m:r>
              <m:r>
                <m:t>T</m:t>
              </m:r>
            </m:sup>
          </m:sSup>
          <m:r>
            <m:rPr>
              <m:sty m:val="p"/>
            </m:rPr>
            <m:t>,</m:t>
          </m:r>
          <m:r>
            <m:t>0</m:t>
          </m:r>
          <m:r>
            <m:rPr>
              <m:sty m:val="p"/>
            </m:rPr>
            <m:t>)</m:t>
          </m:r>
          <m:r>
            <m:rPr>
              <m:sty m:val="p"/>
            </m:rPr>
            <m:t>≤</m:t>
          </m:r>
          <m:r>
            <m:t>C</m:t>
          </m:r>
          <m:r>
            <m:rPr>
              <m:sty m:val="p"/>
            </m:rPr>
            <m:t>&lt;</m:t>
          </m:r>
          <m:r>
            <m:t>S</m:t>
          </m:r>
          <m:sSup>
            <m:e>
              <m:r>
                <m:t>e</m:t>
              </m:r>
            </m:e>
            <m:sup>
              <m:r>
                <m:rPr>
                  <m:sty m:val="p"/>
                </m:rPr>
                <m:t>−</m:t>
              </m:r>
              <m:r>
                <m:t>q</m:t>
              </m:r>
              <m:r>
                <m:t>T</m:t>
              </m:r>
            </m:sup>
          </m:sSup>
          <m:r>
            <m:rPr>
              <m:sty m:val="p"/>
            </m:rPr>
            <m:t>,</m:t>
          </m:r>
          <m:r>
            <m:t>  </m:t>
          </m:r>
          <m:r>
            <m:rPr>
              <m:sty m:val="p"/>
            </m:rPr>
            <m:t>max</m:t>
          </m:r>
          <m:r>
            <m:rPr>
              <m:sty m:val="p"/>
            </m:rPr>
            <m:t>(</m:t>
          </m:r>
          <m:r>
            <m:t>K</m:t>
          </m:r>
          <m:sSup>
            <m:e>
              <m:r>
                <m:t>e</m:t>
              </m:r>
            </m:e>
            <m:sup>
              <m:r>
                <m:rPr>
                  <m:sty m:val="p"/>
                </m:rPr>
                <m:t>−</m:t>
              </m:r>
              <m:r>
                <m:t>r</m:t>
              </m:r>
              <m:r>
                <m:t>T</m:t>
              </m:r>
            </m:sup>
          </m:sSup>
          <m:r>
            <m:rPr>
              <m:sty m:val="p"/>
            </m:rPr>
            <m:t>−</m:t>
          </m:r>
          <m:r>
            <m:t>S</m:t>
          </m:r>
          <m:sSup>
            <m:e>
              <m:r>
                <m:t>e</m:t>
              </m:r>
            </m:e>
            <m:sup>
              <m:r>
                <m:rPr>
                  <m:sty m:val="p"/>
                </m:rPr>
                <m:t>−</m:t>
              </m:r>
              <m:r>
                <m:t>q</m:t>
              </m:r>
              <m:r>
                <m:t>T</m:t>
              </m:r>
            </m:sup>
          </m:sSup>
          <m:r>
            <m:rPr>
              <m:sty m:val="p"/>
            </m:rPr>
            <m:t>,</m:t>
          </m:r>
          <m:r>
            <m:t>0</m:t>
          </m:r>
          <m:r>
            <m:rPr>
              <m:sty m:val="p"/>
            </m:rPr>
            <m:t>)</m:t>
          </m:r>
          <m:r>
            <m:rPr>
              <m:sty m:val="p"/>
            </m:rPr>
            <m:t>≤</m:t>
          </m:r>
          <m:r>
            <m:t>P</m:t>
          </m:r>
          <m:r>
            <m:rPr>
              <m:sty m:val="p"/>
            </m:rPr>
            <m:t>&lt;</m:t>
          </m:r>
          <m:r>
            <m:t>K</m:t>
          </m:r>
          <m:sSup>
            <m:e>
              <m:r>
                <m:t>e</m:t>
              </m:r>
            </m:e>
            <m:sup>
              <m:r>
                <m:rPr>
                  <m:sty m:val="p"/>
                </m:rPr>
                <m:t>−</m:t>
              </m:r>
              <m:r>
                <m:t>r</m:t>
              </m:r>
              <m:r>
                <m:t>T</m:t>
              </m:r>
            </m:sup>
          </m:sSup>
          <m:r>
            <m:rPr>
              <m:sty m:val="p"/>
            </m:rPr>
            <m:t>.</m:t>
          </m:r>
        </m:oMath>
      </m:oMathPara>
    </w:p>
    <w:p>
      <w:pPr>
        <w:pStyle w:val="FirstParagraph"/>
      </w:pPr>
      <w:r>
        <w:rPr>
          <w:lang w:val="en-US"/>
        </w:rPr>
        <w:t xml:space="preserve">The implementation requires a call or put, finite numerical inputs,</w:t>
      </w:r>
      <w:r>
        <w:rPr>
          <w:lang w:val="en-US"/>
        </w:rPr>
        <w:t xml:space="preserve"> </w:t>
      </w:r>
      <m:oMath>
        <m:r>
          <m:t>S</m:t>
        </m:r>
        <m:r>
          <m:rPr>
            <m:sty m:val="p"/>
          </m:rPr>
          <m:t>&gt;</m:t>
        </m:r>
        <m:r>
          <m:t>0</m:t>
        </m:r>
      </m:oMath>
      <w:r>
        <w:rPr>
          <w:lang w:val="en-US"/>
        </w:rPr>
        <w:t xml:space="preserve">,</w:t>
      </w:r>
      <w:r>
        <w:rPr>
          <w:lang w:val="en-US"/>
        </w:rPr>
        <w:t xml:space="preserve"> </w:t>
      </w:r>
      <m:oMath>
        <m:r>
          <m:t>K</m:t>
        </m:r>
        <m:r>
          <m:rPr>
            <m:sty m:val="p"/>
          </m:rPr>
          <m:t>&gt;</m:t>
        </m:r>
        <m:r>
          <m:t>0</m:t>
        </m:r>
      </m:oMath>
      <w:r>
        <w:rPr>
          <w:lang w:val="en-US"/>
        </w:rPr>
        <w:t xml:space="preserve">, positive days to expiry, and positive volatility for pricing. Its inversion rejects non-finite or negative prices, prices within</w:t>
      </w:r>
      <w:r>
        <w:rPr>
          <w:lang w:val="en-US"/>
        </w:rPr>
        <w:t xml:space="preserve"> </w:t>
      </w:r>
      <m:oMath>
        <m:sSup>
          <m:e>
            <m:r>
              <m:t>10</m:t>
            </m:r>
          </m:e>
          <m:sup>
            <m:r>
              <m:rPr>
                <m:sty m:val="p"/>
              </m:rPr>
              <m:t>−</m:t>
            </m:r>
            <m:r>
              <m:t>10</m:t>
            </m:r>
          </m:sup>
        </m:sSup>
      </m:oMath>
      <w:r>
        <w:rPr>
          <w:lang w:val="en-US"/>
        </w:rPr>
        <w:t xml:space="preserve"> </w:t>
      </w:r>
      <w:r>
        <w:rPr>
          <w:lang w:val="en-US"/>
        </w:rPr>
        <w:t xml:space="preserve">currency units of a European bound, and prices outside the configured decimal-IV bracket</w:t>
      </w:r>
      <w:r>
        <w:rPr>
          <w:lang w:val="en-US"/>
        </w:rPr>
        <w:t xml:space="preserve"> </w:t>
      </w:r>
      <m:oMath>
        <m:r>
          <m:rPr>
            <m:sty m:val="p"/>
          </m:rPr>
          <m:t>[</m:t>
        </m:r>
        <m:sSup>
          <m:e>
            <m:r>
              <m:t>10</m:t>
            </m:r>
          </m:e>
          <m:sup>
            <m:r>
              <m:rPr>
                <m:sty m:val="p"/>
              </m:rPr>
              <m:t>−</m:t>
            </m:r>
            <m:r>
              <m:t>8</m:t>
            </m:r>
          </m:sup>
        </m:sSup>
        <m:r>
          <m:rPr>
            <m:sty m:val="p"/>
          </m:rPr>
          <m:t>,</m:t>
        </m:r>
        <m:r>
          <m:t>5</m:t>
        </m:r>
        <m:r>
          <m:rPr>
            <m:sty m:val="p"/>
          </m:rPr>
          <m:t>]</m:t>
        </m:r>
      </m:oMath>
      <w:r>
        <w:rPr>
          <w:lang w:val="en-US"/>
        </w:rPr>
        <w:t xml:space="preserve">; bisection runs for 64 iterations without quote clipping. Failures are classified as invalid input, theoretical-bound violation, rejection by the configured near-bound guard, outside-bracket, or numerical/unclassified rejection. A configured-bracket rejection is not itself an invalid market quote. Successful roots are repriced; repricing error and IV recovery error are reported separately.</w:t>
      </w:r>
    </w:p>
    <w:p>
      <w:pPr>
        <w:pStyle w:val="BodyText"/>
      </w:pPr>
      <w:r>
        <w:rPr>
          <w:lang w:val="en-US"/>
        </w:rPr>
        <w:t xml:space="preserve">The round-trip design contains 60 contract configurations and 120 option-leg prices (five</w:t>
      </w:r>
      <w:r>
        <w:rPr>
          <w:lang w:val="en-US"/>
        </w:rPr>
        <w:t xml:space="preserve"> </w:t>
      </w:r>
      <m:oMath>
        <m:r>
          <m:t>S</m:t>
        </m:r>
        <m:r>
          <m:rPr>
            <m:sty m:val="p"/>
          </m:rPr>
          <m:t>/</m:t>
        </m:r>
        <m:r>
          <m:t>K</m:t>
        </m:r>
      </m:oMath>
      <w:r>
        <w:rPr>
          <w:lang w:val="en-US"/>
        </w:rPr>
        <w:t xml:space="preserve"> </w:t>
      </w:r>
      <w:r>
        <w:rPr>
          <w:lang w:val="en-US"/>
        </w:rPr>
        <w:t xml:space="preserve">ratios × four expiries × three target IVs × two legs). In the recorded run, 104 prices inverted; 15 were rejected by the configured absolute near-bound guard and one binary64 price fell outside the bounds computed by the binary64 solver. A separate 180-digit Decimal code path recomputed the 16 intended BSM prices: all 16 exact prices lie strictly inside the high-precision bounds, their target roots lie inside the solver bracket, and all are within the configured</w:t>
      </w:r>
      <w:r>
        <w:rPr>
          <w:lang w:val="en-US"/>
        </w:rPr>
        <w:t xml:space="preserve"> </w:t>
      </w:r>
      <m:oMath>
        <m:sSup>
          <m:e>
            <m:r>
              <m:t>10</m:t>
            </m:r>
          </m:e>
          <m:sup>
            <m:r>
              <m:rPr>
                <m:sty m:val="p"/>
              </m:rPr>
              <m:t>−</m:t>
            </m:r>
            <m:r>
              <m:t>10</m:t>
            </m:r>
          </m:sup>
        </m:sSup>
      </m:oMath>
      <w:r>
        <w:rPr>
          <w:lang w:val="en-US"/>
        </w:rPr>
        <w:t xml:space="preserve"> </w:t>
      </w:r>
      <w:r>
        <w:rPr>
          <w:lang w:val="en-US"/>
        </w:rPr>
        <w:t xml:space="preserve">absolute guard. Comparing the stored binary64 prices against those 180-digit bounds gives 12/16 strictly inside; this is a different comparison from the solver’s binary64-bound classifier and must not be labeled as its strict-inside count. Replaying the solver-bound classification yields 10 strictly interior near-bound guard cases, five prices exactly equal to a binary64 bound and caught by the guard, and one strict binary64-bound violation. The three mutually exclusive groups are tabulated in Section 7.8. This is a classification of this generated numerical design, not a general floating-point failure rate. Among the 104 successful inversions, maximum absolute repricing error was</w:t>
      </w:r>
      <w:r>
        <w:rPr>
          <w:lang w:val="en-US"/>
        </w:rPr>
        <w:t xml:space="preserve"> </w:t>
      </w:r>
      <m:oMath>
        <m:r>
          <m:t>2.84</m:t>
        </m:r>
        <m:r>
          <m:rPr>
            <m:sty m:val="p"/>
          </m:rPr>
          <m:t>×</m:t>
        </m:r>
        <m:sSup>
          <m:e>
            <m:r>
              <m:t>10</m:t>
            </m:r>
          </m:e>
          <m:sup>
            <m:r>
              <m:rPr>
                <m:sty m:val="p"/>
              </m:rPr>
              <m:t>−</m:t>
            </m:r>
            <m:r>
              <m:t>14</m:t>
            </m:r>
          </m:sup>
        </m:sSup>
      </m:oMath>
      <w:r>
        <w:rPr>
          <w:lang w:val="en-US"/>
        </w:rPr>
        <w:t xml:space="preserve"> </w:t>
      </w:r>
      <w:r>
        <w:rPr>
          <w:lang w:val="en-US"/>
        </w:rPr>
        <w:t xml:space="preserve">currency units and maximum/p95 absolute IV-recovery error was</w:t>
      </w:r>
      <w:r>
        <w:rPr>
          <w:lang w:val="en-US"/>
        </w:rPr>
        <w:t xml:space="preserve"> </w:t>
      </w:r>
      <m:oMath>
        <m:r>
          <m:t>1.19</m:t>
        </m:r>
        <m:r>
          <m:rPr>
            <m:sty m:val="p"/>
          </m:rPr>
          <m:t>×</m:t>
        </m:r>
        <m:sSup>
          <m:e>
            <m:r>
              <m:t>10</m:t>
            </m:r>
          </m:e>
          <m:sup>
            <m:r>
              <m:rPr>
                <m:sty m:val="p"/>
              </m:rPr>
              <m:t>−</m:t>
            </m:r>
            <m:r>
              <m:t>11</m:t>
            </m:r>
          </m:sup>
        </m:sSup>
        <m:r>
          <m:rPr>
            <m:sty m:val="p"/>
          </m:rPr>
          <m:t>/</m:t>
        </m:r>
        <m:r>
          <m:t>5.41</m:t>
        </m:r>
        <m:r>
          <m:rPr>
            <m:sty m:val="p"/>
          </m:rPr>
          <m:t>×</m:t>
        </m:r>
        <m:sSup>
          <m:e>
            <m:r>
              <m:t>10</m:t>
            </m:r>
          </m:e>
          <m:sup>
            <m:r>
              <m:rPr>
                <m:sty m:val="p"/>
              </m:rPr>
              <m:t>−</m:t>
            </m:r>
            <m:r>
              <m:t>13</m:t>
            </m:r>
          </m:sup>
        </m:sSup>
      </m:oMath>
      <w:r>
        <w:rPr>
          <w:lang w:val="en-US"/>
        </w:rPr>
        <w:t xml:space="preserve"> </w:t>
      </w:r>
      <w:r>
        <w:rPr>
          <w:lang w:val="en-US"/>
        </w:rPr>
        <w:t xml:space="preserve">in decimal volatility. Ten deliberately invalid-price probes were rejected and none accepted. These are synthetic outcomes, not market-quote failure rates; the threshold remains an implementation setting, not a universal filter.</w:t>
      </w:r>
    </w:p>
    <w:bookmarkEnd w:id="16"/>
    <w:bookmarkStart w:id="22" w:name="synthetic-design"/>
    <w:p>
      <w:pPr>
        <w:pStyle w:val="Heading2"/>
      </w:pPr>
      <w:r>
        <w:rPr>
          <w:lang w:val="en-US"/>
        </w:rPr>
        <w:t xml:space="preserve">6. Synthetic design</w:t>
      </w:r>
    </w:p>
    <w:p>
      <w:pPr>
        <w:pStyle w:val="FirstParagraph"/>
      </w:pPr>
      <w:r>
        <w:rPr>
          <w:lang w:val="en-US"/>
        </w:rPr>
        <w:t xml:space="preserve">All input prices and signals are generated from fixed formulas. Appendix B gives project-checkout commands for regenerating the synthetic demonstration and diagnostic analyses. A separate standard-library identity checker imports neither of the primary implementations. It is a distinct code path by the same author, not an independent human replication or a high-precision oracle. The experiments use a 365-day year, continuous rates and yields, and underlying-currency price units. No network call or external market data is used.</w:t>
      </w:r>
    </w:p>
    <w:bookmarkStart w:id="17" w:name="local-approximation-grid"/>
    <w:p>
      <w:pPr>
        <w:pStyle w:val="Heading3"/>
      </w:pPr>
      <w:r>
        <w:rPr>
          <w:lang w:val="en-US"/>
        </w:rPr>
        <w:t xml:space="preserve">6.1 Local-approximation grid</w:t>
      </w:r>
    </w:p>
    <w:p>
      <w:pPr>
        <w:pStyle w:val="FirstParagraph"/>
      </w:pPr>
      <w:r>
        <w:rPr>
          <w:lang w:val="en-US"/>
        </w:rPr>
        <w:t xml:space="preserve">The 720-cell grid fixes</w:t>
      </w:r>
      <w:r>
        <w:rPr>
          <w:lang w:val="en-US"/>
        </w:rPr>
        <w:t xml:space="preserve"> </w:t>
      </w:r>
      <m:oMath>
        <m:r>
          <m:t>K</m:t>
        </m:r>
        <m:r>
          <m:rPr>
            <m:sty m:val="p"/>
          </m:rPr>
          <m:t>=</m:t>
        </m:r>
        <m:r>
          <m:t>100</m:t>
        </m:r>
      </m:oMath>
      <w:r>
        <w:rPr>
          <w:lang w:val="en-US"/>
        </w:rPr>
        <w:t xml:space="preserve"> </w:t>
      </w:r>
      <w:r>
        <w:rPr>
          <w:lang w:val="en-US"/>
        </w:rPr>
        <w:t xml:space="preserve">and crosses</w:t>
      </w:r>
      <w:r>
        <w:rPr>
          <w:lang w:val="en-US"/>
        </w:rPr>
        <w:t xml:space="preserve"> </w:t>
      </w:r>
      <m:oMath>
        <m:r>
          <m:t>S</m:t>
        </m:r>
        <m:r>
          <m:rPr>
            <m:sty m:val="p"/>
          </m:rPr>
          <m:t>/</m:t>
        </m:r>
        <m:r>
          <m:t>K</m:t>
        </m:r>
        <m:r>
          <m:rPr>
            <m:sty m:val="p"/>
          </m:rPr>
          <m:t>∈</m:t>
        </m:r>
        <m:r>
          <m:rPr>
            <m:sty m:val="p"/>
          </m:rPr>
          <m:t>{</m:t>
        </m:r>
        <m:r>
          <m:t>0.8</m:t>
        </m:r>
        <m:r>
          <m:rPr>
            <m:sty m:val="p"/>
          </m:rPr>
          <m:t>,</m:t>
        </m:r>
        <m:r>
          <m:t>0.9</m:t>
        </m:r>
        <m:r>
          <m:rPr>
            <m:sty m:val="p"/>
          </m:rPr>
          <m:t>,</m:t>
        </m:r>
        <m:r>
          <m:t>1.0</m:t>
        </m:r>
        <m:r>
          <m:rPr>
            <m:sty m:val="p"/>
          </m:rPr>
          <m:t>,</m:t>
        </m:r>
        <m:r>
          <m:t>1.1</m:t>
        </m:r>
        <m:r>
          <m:rPr>
            <m:sty m:val="p"/>
          </m:rPr>
          <m:t>,</m:t>
        </m:r>
        <m:r>
          <m:t>1.2</m:t>
        </m:r>
        <m:r>
          <m:rPr>
            <m:sty m:val="p"/>
          </m:rPr>
          <m:t>}</m:t>
        </m:r>
      </m:oMath>
      <w:r>
        <w:rPr>
          <w:lang w:val="en-US"/>
        </w:rPr>
        <w:t xml:space="preserve">, expiries</w:t>
      </w:r>
      <w:r>
        <w:rPr>
          <w:lang w:val="en-US"/>
        </w:rPr>
        <w:t xml:space="preserve"> </w:t>
      </w:r>
      <m:oMath>
        <m:r>
          <m:t>T</m:t>
        </m:r>
        <m:r>
          <m:rPr>
            <m:sty m:val="p"/>
          </m:rPr>
          <m:t>∈</m:t>
        </m:r>
        <m:r>
          <m:rPr>
            <m:sty m:val="p"/>
          </m:rPr>
          <m:t>{</m:t>
        </m:r>
        <m:r>
          <m:t>7</m:t>
        </m:r>
        <m:r>
          <m:rPr>
            <m:sty m:val="p"/>
          </m:rPr>
          <m:t>,</m:t>
        </m:r>
        <m:r>
          <m:t>30</m:t>
        </m:r>
        <m:r>
          <m:rPr>
            <m:sty m:val="p"/>
          </m:rPr>
          <m:t>,</m:t>
        </m:r>
        <m:r>
          <m:t>90</m:t>
        </m:r>
        <m:r>
          <m:rPr>
            <m:sty m:val="p"/>
          </m:rPr>
          <m:t>,</m:t>
        </m:r>
        <m:r>
          <m:t>365</m:t>
        </m:r>
        <m:r>
          <m:rPr>
            <m:sty m:val="p"/>
          </m:rPr>
          <m:t>}</m:t>
        </m:r>
      </m:oMath>
      <w:r>
        <w:rPr>
          <w:lang w:val="en-US"/>
        </w:rPr>
        <w:t xml:space="preserve"> </w:t>
      </w:r>
      <w:r>
        <w:rPr>
          <w:lang w:val="en-US"/>
        </w:rPr>
        <w:t xml:space="preserve">days, midpoint reference volatilities</w:t>
      </w:r>
      <w:r>
        <w:rPr>
          <w:lang w:val="en-US"/>
        </w:rPr>
        <w:t xml:space="preserve"> </w:t>
      </w:r>
      <m:oMath>
        <m:sSub>
          <m:e>
            <m:r>
              <m:t>σ</m:t>
            </m:r>
          </m:e>
          <m:sub>
            <m:r>
              <m:t>0</m:t>
            </m:r>
          </m:sub>
        </m:sSub>
        <m:r>
          <m:rPr>
            <m:sty m:val="p"/>
          </m:rPr>
          <m:t>∈</m:t>
        </m:r>
        <m:r>
          <m:rPr>
            <m:sty m:val="p"/>
          </m:rPr>
          <m:t>{</m:t>
        </m:r>
        <m:r>
          <m:t>0.10</m:t>
        </m:r>
        <m:r>
          <m:rPr>
            <m:sty m:val="p"/>
          </m:rPr>
          <m:t>,</m:t>
        </m:r>
        <m:r>
          <m:t>0.20</m:t>
        </m:r>
        <m:r>
          <m:rPr>
            <m:sty m:val="p"/>
          </m:rPr>
          <m:t>,</m:t>
        </m:r>
        <m:r>
          <m:t>0.40</m:t>
        </m:r>
        <m:r>
          <m:rPr>
            <m:sty m:val="p"/>
          </m:rPr>
          <m:t>}</m:t>
        </m:r>
      </m:oMath>
      <w:r>
        <w:rPr>
          <w:lang w:val="en-US"/>
        </w:rPr>
        <w:t xml:space="preserve">, six nonzero target spreads</w:t>
      </w:r>
      <w:r>
        <w:rPr>
          <w:lang w:val="en-US"/>
        </w:rPr>
        <w:t xml:space="preserve"> </w:t>
      </w:r>
      <m:oMath>
        <m:sSub>
          <m:e>
            <m:r>
              <m:t>d</m:t>
            </m:r>
          </m:e>
          <m:sub>
            <m:r>
              <m:t>p</m:t>
            </m:r>
            <m:r>
              <m:t>p</m:t>
            </m:r>
          </m:sub>
        </m:sSub>
        <m:r>
          <m:rPr>
            <m:sty m:val="p"/>
          </m:rPr>
          <m:t>∈</m:t>
        </m:r>
        <m:r>
          <m:rPr>
            <m:sty m:val="p"/>
          </m:rPr>
          <m:t>{</m:t>
        </m:r>
        <m:r>
          <m:rPr>
            <m:sty m:val="p"/>
          </m:rPr>
          <m:t>−</m:t>
        </m:r>
        <m:r>
          <m:t>2</m:t>
        </m:r>
        <m:r>
          <m:rPr>
            <m:sty m:val="p"/>
          </m:rPr>
          <m:t>,</m:t>
        </m:r>
        <m:r>
          <m:rPr>
            <m:sty m:val="p"/>
          </m:rPr>
          <m:t>−</m:t>
        </m:r>
        <m:r>
          <m:t>1</m:t>
        </m:r>
        <m:r>
          <m:rPr>
            <m:sty m:val="p"/>
          </m:rPr>
          <m:t>,</m:t>
        </m:r>
        <m:r>
          <m:rPr>
            <m:sty m:val="p"/>
          </m:rPr>
          <m:t>−</m:t>
        </m:r>
        <m:r>
          <m:t>0.5</m:t>
        </m:r>
        <m:r>
          <m:rPr>
            <m:sty m:val="p"/>
          </m:rPr>
          <m:t>,</m:t>
        </m:r>
        <m:r>
          <m:t>0.5</m:t>
        </m:r>
        <m:r>
          <m:rPr>
            <m:sty m:val="p"/>
          </m:rPr>
          <m:t>,</m:t>
        </m:r>
        <m:r>
          <m:t>1</m:t>
        </m:r>
        <m:r>
          <m:rPr>
            <m:sty m:val="p"/>
          </m:rPr>
          <m:t>,</m:t>
        </m:r>
        <m:r>
          <m:t>2</m:t>
        </m:r>
        <m:r>
          <m:rPr>
            <m:sty m:val="p"/>
          </m:rPr>
          <m:t>}</m:t>
        </m:r>
      </m:oMath>
      <w:r>
        <w:rPr>
          <w:lang w:val="en-US"/>
        </w:rPr>
        <w:t xml:space="preserve">, and carry pairs</w:t>
      </w:r>
      <w:r>
        <w:rPr>
          <w:lang w:val="en-US"/>
        </w:rPr>
        <w:t xml:space="preserve"> </w:t>
      </w:r>
      <m:oMath>
        <m:r>
          <m:rPr>
            <m:sty m:val="p"/>
          </m:rPr>
          <m:t>(</m:t>
        </m:r>
        <m:r>
          <m:t>r</m:t>
        </m:r>
        <m:r>
          <m:rPr>
            <m:sty m:val="p"/>
          </m:rPr>
          <m:t>,</m:t>
        </m:r>
        <m:r>
          <m:t>q</m:t>
        </m:r>
        <m:r>
          <m:rPr>
            <m:sty m:val="p"/>
          </m:rPr>
          <m:t>)</m:t>
        </m:r>
        <m:r>
          <m:rPr>
            <m:sty m:val="p"/>
          </m:rPr>
          <m:t>=</m:t>
        </m:r>
        <m:r>
          <m:rPr>
            <m:sty m:val="p"/>
          </m:rPr>
          <m:t>(</m:t>
        </m:r>
        <m:r>
          <m:t>0</m:t>
        </m:r>
        <m:r>
          <m:rPr>
            <m:sty m:val="p"/>
          </m:rPr>
          <m:t>,</m:t>
        </m:r>
        <m:r>
          <m:t>0</m:t>
        </m:r>
        <m:r>
          <m:rPr>
            <m:sty m:val="p"/>
          </m:rPr>
          <m:t>)</m:t>
        </m:r>
        <m:r>
          <m:rPr>
            <m:sty m:val="p"/>
          </m:rPr>
          <m:t>,</m:t>
        </m:r>
        <m:r>
          <m:rPr>
            <m:sty m:val="p"/>
          </m:rPr>
          <m:t>(</m:t>
        </m:r>
        <m:r>
          <m:t>0.05</m:t>
        </m:r>
        <m:r>
          <m:rPr>
            <m:sty m:val="p"/>
          </m:rPr>
          <m:t>,</m:t>
        </m:r>
        <m:r>
          <m:t>0.02</m:t>
        </m:r>
        <m:r>
          <m:rPr>
            <m:sty m:val="p"/>
          </m:rPr>
          <m:t>)</m:t>
        </m:r>
      </m:oMath>
      <w:r>
        <w:rPr>
          <w:lang w:val="en-US"/>
        </w:rPr>
        <w:t xml:space="preserve">. For each cell,</w:t>
      </w:r>
      <w:r>
        <w:rPr>
          <w:lang w:val="en-US"/>
        </w:rPr>
        <w:t xml:space="preserve"> </w:t>
      </w:r>
      <m:oMath>
        <m:r>
          <m:t>S</m:t>
        </m:r>
        <m:r>
          <m:rPr>
            <m:sty m:val="p"/>
          </m:rPr>
          <m:t>=</m:t>
        </m:r>
        <m:r>
          <m:t>100</m:t>
        </m:r>
        <m:r>
          <m:rPr>
            <m:sty m:val="p"/>
          </m:rPr>
          <m:t>(</m:t>
        </m:r>
        <m:r>
          <m:t>S</m:t>
        </m:r>
        <m:r>
          <m:rPr>
            <m:sty m:val="p"/>
          </m:rPr>
          <m:t>/</m:t>
        </m:r>
        <m:r>
          <m:t>K</m:t>
        </m:r>
        <m:r>
          <m:rPr>
            <m:sty m:val="p"/>
          </m:rPr>
          <m:t>)</m:t>
        </m:r>
      </m:oMath>
      <w:r>
        <w:rPr>
          <w:lang w:val="en-US"/>
        </w:rPr>
        <w:t xml:space="preserve">,</w:t>
      </w:r>
      <w:r>
        <w:rPr>
          <w:lang w:val="en-US"/>
        </w:rPr>
        <w:t xml:space="preserve"> </w:t>
      </w:r>
      <m:oMath>
        <m:r>
          <m:t>d</m:t>
        </m:r>
        <m:r>
          <m:rPr>
            <m:sty m:val="p"/>
          </m:rPr>
          <m:t>=</m:t>
        </m:r>
        <m:sSub>
          <m:e>
            <m:r>
              <m:t>d</m:t>
            </m:r>
          </m:e>
          <m:sub>
            <m:r>
              <m:t>p</m:t>
            </m:r>
            <m:r>
              <m:t>p</m:t>
            </m:r>
          </m:sub>
        </m:sSub>
        <m:r>
          <m:rPr>
            <m:sty m:val="p"/>
          </m:rPr>
          <m:t>/</m:t>
        </m:r>
        <m:r>
          <m:t>100</m:t>
        </m:r>
      </m:oMath>
      <w:r>
        <w:rPr>
          <w:lang w:val="en-US"/>
        </w:rPr>
        <w:t xml:space="preserve">,</w:t>
      </w:r>
      <w:r>
        <w:rPr>
          <w:lang w:val="en-US"/>
        </w:rPr>
        <w:t xml:space="preserve"> </w:t>
      </w:r>
      <m:oMath>
        <m:sSub>
          <m:e>
            <m:r>
              <m:t>σ</m:t>
            </m:r>
          </m:e>
          <m:sub>
            <m:r>
              <m:t>C</m:t>
            </m:r>
          </m:sub>
        </m:sSub>
        <m:r>
          <m:rPr>
            <m:sty m:val="p"/>
          </m:rPr>
          <m:t>=</m:t>
        </m:r>
        <m:sSub>
          <m:e>
            <m:r>
              <m:t>σ</m:t>
            </m:r>
          </m:e>
          <m:sub>
            <m:r>
              <m:t>0</m:t>
            </m:r>
          </m:sub>
        </m:sSub>
        <m:r>
          <m:rPr>
            <m:sty m:val="p"/>
          </m:rPr>
          <m:t>+</m:t>
        </m:r>
        <m:r>
          <m:t>d</m:t>
        </m:r>
        <m:r>
          <m:rPr>
            <m:sty m:val="p"/>
          </m:rPr>
          <m:t>/</m:t>
        </m:r>
        <m:r>
          <m:t>2</m:t>
        </m:r>
      </m:oMath>
      <w:r>
        <w:rPr>
          <w:lang w:val="en-US"/>
        </w:rPr>
        <w:t xml:space="preserve">, and</w:t>
      </w:r>
      <w:r>
        <w:rPr>
          <w:lang w:val="en-US"/>
        </w:rPr>
        <w:t xml:space="preserve"> </w:t>
      </w:r>
      <m:oMath>
        <m:sSub>
          <m:e>
            <m:r>
              <m:t>σ</m:t>
            </m:r>
          </m:e>
          <m:sub>
            <m:r>
              <m:t>P</m:t>
            </m:r>
          </m:sub>
        </m:sSub>
        <m:r>
          <m:rPr>
            <m:sty m:val="p"/>
          </m:rPr>
          <m:t>=</m:t>
        </m:r>
        <m:sSub>
          <m:e>
            <m:r>
              <m:t>σ</m:t>
            </m:r>
          </m:e>
          <m:sub>
            <m:r>
              <m:t>0</m:t>
            </m:r>
          </m:sub>
        </m:sSub>
        <m:r>
          <m:rPr>
            <m:sty m:val="p"/>
          </m:rPr>
          <m:t>−</m:t>
        </m:r>
        <m:r>
          <m:t>d</m:t>
        </m:r>
        <m:r>
          <m:rPr>
            <m:sty m:val="p"/>
          </m:rPr>
          <m:t>/</m:t>
        </m:r>
        <m:r>
          <m:t>2</m:t>
        </m:r>
      </m:oMath>
      <w:r>
        <w:rPr>
          <w:lang w:val="en-US"/>
        </w:rPr>
        <w:t xml:space="preserve">. Thus the midpoint, rather than one endpoint, is the designated reference. For smooth vega</w:t>
      </w:r>
      <w:r>
        <w:rPr>
          <w:lang w:val="en-US"/>
        </w:rPr>
        <w:t xml:space="preserve"> </w:t>
      </w:r>
      <m:oMath>
        <m:r>
          <m:t>ν</m:t>
        </m:r>
      </m:oMath>
      <w:r>
        <w:rPr>
          <w:lang w:val="en-US"/>
        </w:rPr>
        <w:t xml:space="preserve">, symmetric integration around</w:t>
      </w:r>
      <w:r>
        <w:rPr>
          <w:lang w:val="en-US"/>
        </w:rPr>
        <w:t xml:space="preserve"> </w:t>
      </w:r>
      <m:oMath>
        <m:sSub>
          <m:e>
            <m:r>
              <m:t>σ</m:t>
            </m:r>
          </m:e>
          <m:sub>
            <m:r>
              <m:t>0</m:t>
            </m:r>
          </m:sub>
        </m:sSub>
      </m:oMath>
      <w:r>
        <w:rPr>
          <w:lang w:val="en-US"/>
        </w:rPr>
        <w:t xml:space="preserve"> </w:t>
      </w:r>
      <w:r>
        <w:rPr>
          <w:lang w:val="en-US"/>
        </w:rPr>
        <w:t xml:space="preserve">gives</w:t>
      </w:r>
      <w:r>
        <w:rPr>
          <w:lang w:val="en-US"/>
        </w:rPr>
        <w:t xml:space="preserve"> </w:t>
      </w:r>
      <m:oMath>
        <m:r>
          <m:t>R</m:t>
        </m:r>
        <m:r>
          <m:rPr>
            <m:sty m:val="p"/>
          </m:rPr>
          <m:t>/</m:t>
        </m:r>
        <m:r>
          <m:t>ν</m:t>
        </m:r>
        <m:r>
          <m:rPr>
            <m:sty m:val="p"/>
          </m:rPr>
          <m:t>(</m:t>
        </m:r>
        <m:sSub>
          <m:e>
            <m:r>
              <m:t>σ</m:t>
            </m:r>
          </m:e>
          <m:sub>
            <m:r>
              <m:t>0</m:t>
            </m:r>
          </m:sub>
        </m:sSub>
        <m:r>
          <m:rPr>
            <m:sty m:val="p"/>
          </m:rPr>
          <m:t>)</m:t>
        </m:r>
        <m:r>
          <m:rPr>
            <m:sty m:val="p"/>
          </m:rPr>
          <m:t>=</m:t>
        </m:r>
        <m:r>
          <m:t>d</m:t>
        </m:r>
        <m:r>
          <m:rPr>
            <m:sty m:val="p"/>
          </m:rPr>
          <m:t>+</m:t>
        </m:r>
        <m:r>
          <m:rPr>
            <m:sty m:val="p"/>
          </m:rPr>
          <m:t>(</m:t>
        </m:r>
        <m:sSup>
          <m:e>
            <m:r>
              <m:t>d</m:t>
            </m:r>
          </m:e>
          <m:sup>
            <m:r>
              <m:t>3</m:t>
            </m:r>
          </m:sup>
        </m:sSup>
        <m:r>
          <m:rPr>
            <m:sty m:val="p"/>
          </m:rPr>
          <m:t>/</m:t>
        </m:r>
        <m:r>
          <m:t>24</m:t>
        </m:r>
        <m:r>
          <m:rPr>
            <m:sty m:val="p"/>
          </m:rPr>
          <m:t>)</m:t>
        </m:r>
        <m:sSup>
          <m:e>
            <m:r>
              <m:t>ν</m:t>
            </m:r>
          </m:e>
          <m:sup>
            <m:r>
              <m:rPr>
                <m:sty m:val="p"/>
              </m:rPr>
              <m:t>″</m:t>
            </m:r>
          </m:sup>
        </m:sSup>
        <m:r>
          <m:rPr>
            <m:sty m:val="p"/>
          </m:rPr>
          <m:t>(</m:t>
        </m:r>
        <m:sSub>
          <m:e>
            <m:r>
              <m:t>σ</m:t>
            </m:r>
          </m:e>
          <m:sub>
            <m:r>
              <m:t>0</m:t>
            </m:r>
          </m:sub>
        </m:sSub>
        <m:r>
          <m:rPr>
            <m:sty m:val="p"/>
          </m:rPr>
          <m:t>)</m:t>
        </m:r>
        <m:r>
          <m:rPr>
            <m:sty m:val="p"/>
          </m:rPr>
          <m:t>/</m:t>
        </m:r>
        <m:r>
          <m:t>ν</m:t>
        </m:r>
        <m:r>
          <m:rPr>
            <m:sty m:val="p"/>
          </m:rPr>
          <m:t>(</m:t>
        </m:r>
        <m:sSub>
          <m:e>
            <m:r>
              <m:t>σ</m:t>
            </m:r>
          </m:e>
          <m:sub>
            <m:r>
              <m:t>0</m:t>
            </m:r>
          </m:sub>
        </m:sSub>
        <m:r>
          <m:rPr>
            <m:sty m:val="p"/>
          </m:rPr>
          <m:t>)</m:t>
        </m:r>
        <m:r>
          <m:rPr>
            <m:sty m:val="p"/>
          </m:rPr>
          <m:t>+</m:t>
        </m:r>
        <m:r>
          <m:t>O</m:t>
        </m:r>
        <m:r>
          <m:rPr>
            <m:sty m:val="p"/>
          </m:rPr>
          <m:t>(</m:t>
        </m:r>
        <m:sSup>
          <m:e>
            <m:r>
              <m:t>d</m:t>
            </m:r>
          </m:e>
          <m:sup>
            <m:r>
              <m:t>5</m:t>
            </m:r>
          </m:sup>
        </m:sSup>
        <m:r>
          <m:rPr>
            <m:sty m:val="p"/>
          </m:rPr>
          <m:t>)</m:t>
        </m:r>
      </m:oMath>
      <w:r>
        <w:rPr>
          <w:lang w:val="en-US"/>
        </w:rPr>
        <w:t xml:space="preserve">, with</w:t>
      </w:r>
      <w:r>
        <w:rPr>
          <w:lang w:val="en-US"/>
        </w:rPr>
        <w:t xml:space="preserve"> </w:t>
      </w:r>
      <m:oMath>
        <m:r>
          <m:t>d</m:t>
        </m:r>
      </m:oMath>
      <w:r>
        <w:rPr>
          <w:lang w:val="en-US"/>
        </w:rPr>
        <w:t xml:space="preserve"> </w:t>
      </w:r>
      <w:r>
        <w:rPr>
          <w:lang w:val="en-US"/>
        </w:rPr>
        <w:t xml:space="preserve">measured in decimal-volatility units. Odd derivatives cancel, leaving a leading cubic approximation error; this design therefore evaluates the local approximation at its stipulated midpoint rather than at an arbitrary reference.</w:t>
      </w:r>
    </w:p>
    <w:p>
      <w:pPr>
        <w:pStyle w:val="BodyText"/>
      </w:pPr>
      <w:r>
        <w:rPr>
          <w:lang w:val="en-US"/>
        </w:rPr>
        <w:t xml:space="preserve">Composite Simpson quadrature uses 2,000 even subintervals as the primary numerical integral; the output also records 1,000-versus-2,000 and 2,000-versus-4,000 differences, plus the gap between direct price residual and integrated vega. These are separate numerical diagnostics. Local-approximation error is separately calculated against the target CPIV spread. It is not a solver or quadrature error. For each cell, midpoint and both endpoint vegas are reported. The baseline absolute-vega guard flags a cell when absolute midpoint vega is below</w:t>
      </w:r>
      <w:r>
        <w:rPr>
          <w:lang w:val="en-US"/>
        </w:rPr>
        <w:t xml:space="preserve"> </w:t>
      </w:r>
      <m:oMath>
        <m:sSup>
          <m:e>
            <m:r>
              <m:t>10</m:t>
            </m:r>
          </m:e>
          <m:sup>
            <m:r>
              <m:rPr>
                <m:sty m:val="p"/>
              </m:rPr>
              <m:t>−</m:t>
            </m:r>
            <m:r>
              <m:t>6</m:t>
            </m:r>
          </m:sup>
        </m:sSup>
      </m:oMath>
      <w:r>
        <w:rPr>
          <w:lang w:val="en-US"/>
        </w:rPr>
        <w:t xml:space="preserve"> </w:t>
      </w:r>
      <w:r>
        <w:rPr>
          <w:lang w:val="en-US"/>
        </w:rPr>
        <w:t xml:space="preserve">currency units per decimal IV; it is a numerical filter, not a measurement-resolution tolerance. In the nominal-scale experiment, normalized midpoint vega is</w:t>
      </w:r>
      <w:r>
        <w:rPr>
          <w:lang w:val="en-US"/>
        </w:rPr>
        <w:t xml:space="preserve"> </w:t>
      </w:r>
      <m:oMath>
        <m:sSub>
          <m:e>
            <m:acc>
              <m:accPr>
                <m:chr m:val="̃"/>
              </m:accPr>
              <m:e>
                <m:r>
                  <m:t>ν</m:t>
                </m:r>
              </m:e>
            </m:acc>
          </m:e>
          <m:sub>
            <m:r>
              <m:t>m</m:t>
            </m:r>
            <m:r>
              <m:t>i</m:t>
            </m:r>
            <m:r>
              <m:t>d</m:t>
            </m:r>
          </m:sub>
        </m:sSub>
        <m:r>
          <m:rPr>
            <m:sty m:val="p"/>
          </m:rPr>
          <m:t>=</m:t>
        </m:r>
        <m:sSub>
          <m:e>
            <m:r>
              <m:t>ν</m:t>
            </m:r>
          </m:e>
          <m:sub>
            <m:r>
              <m:t>m</m:t>
            </m:r>
            <m:r>
              <m:t>i</m:t>
            </m:r>
            <m:r>
              <m:t>d</m:t>
            </m:r>
          </m:sub>
        </m:sSub>
        <m:r>
          <m:rPr>
            <m:sty m:val="p"/>
          </m:rPr>
          <m:t>/</m:t>
        </m:r>
        <m:r>
          <m:rPr>
            <m:sty m:val="p"/>
          </m:rPr>
          <m:t>max</m:t>
        </m:r>
        <m:r>
          <m:rPr>
            <m:sty m:val="p"/>
          </m:rPr>
          <m:t>(</m:t>
        </m:r>
        <m:r>
          <m:t>S</m:t>
        </m:r>
        <m:sSup>
          <m:e>
            <m:r>
              <m:t>e</m:t>
            </m:r>
          </m:e>
          <m:sup>
            <m:r>
              <m:rPr>
                <m:sty m:val="p"/>
              </m:rPr>
              <m:t>−</m:t>
            </m:r>
            <m:r>
              <m:t>q</m:t>
            </m:r>
            <m:r>
              <m:t>T</m:t>
            </m:r>
          </m:sup>
        </m:sSup>
        <m:r>
          <m:rPr>
            <m:sty m:val="p"/>
          </m:rPr>
          <m:t>,</m:t>
        </m:r>
        <m:r>
          <m:t>K</m:t>
        </m:r>
        <m:sSup>
          <m:e>
            <m:r>
              <m:t>e</m:t>
            </m:r>
          </m:e>
          <m:sup>
            <m:r>
              <m:rPr>
                <m:sty m:val="p"/>
              </m:rPr>
              <m:t>−</m:t>
            </m:r>
            <m:r>
              <m:t>r</m:t>
            </m:r>
            <m:r>
              <m:t>T</m:t>
            </m:r>
          </m:sup>
        </m:sSup>
        <m:r>
          <m:rPr>
            <m:sty m:val="p"/>
          </m:rPr>
          <m:t>)</m:t>
        </m:r>
      </m:oMath>
      <w:r>
        <w:rPr>
          <w:lang w:val="en-US"/>
        </w:rPr>
        <w:t xml:space="preserve">: the numerator is currency units per decimal IV and the denominator is the discounted underlying-currency scale per underlying unit, so this ratio is normalized per decimal-IV unit. Each scale factor is evaluated over 120 baseline configurations (five</w:t>
      </w:r>
      <w:r>
        <w:rPr>
          <w:lang w:val="en-US"/>
        </w:rPr>
        <w:t xml:space="preserve"> </w:t>
      </w:r>
      <m:oMath>
        <m:r>
          <m:t>S</m:t>
        </m:r>
        <m:r>
          <m:rPr>
            <m:sty m:val="p"/>
          </m:rPr>
          <m:t>/</m:t>
        </m:r>
        <m:r>
          <m:t>K</m:t>
        </m:r>
      </m:oMath>
      <w:r>
        <w:rPr>
          <w:lang w:val="en-US"/>
        </w:rPr>
        <w:t xml:space="preserve"> </w:t>
      </w:r>
      <w:r>
        <w:rPr>
          <w:lang w:val="en-US"/>
        </w:rPr>
        <w:t xml:space="preserve">ratios × four expiries × three reference-IV levels × two carry pairs). The absolute guard resolves 104/120, 104/120, and 106/120 configurations at nominal scale factors 0.01, 1, and 100, respectively. These are grid diagnostics, not a market-weighted distribution or general reliability rule. In the local-approximation grid, midpoint volatility and the other non-spread inputs stay fixed across each configuration’s six spread cells, so normalized midpoint vega is spread-invariant; its summary therefore counts each unique non-spread configuration once.</w:t>
      </w:r>
    </w:p>
    <w:bookmarkEnd w:id="17"/>
    <w:bookmarkStart w:id="18" w:name="X5e9248ecc33d67d9fe20b3d0f47ffb2da2e7637"/>
    <w:p>
      <w:pPr>
        <w:pStyle w:val="Heading3"/>
      </w:pPr>
      <w:r>
        <w:rPr>
          <w:lang w:val="en-US"/>
        </w:rPr>
        <w:t xml:space="preserve">6.2 Carry, spot synchronization, and exercise style</w:t>
      </w:r>
    </w:p>
    <w:p>
      <w:pPr>
        <w:pStyle w:val="FirstParagraph"/>
      </w:pPr>
      <w:r>
        <w:rPr>
          <w:lang w:val="en-US"/>
        </w:rPr>
        <w:t xml:space="preserve">The carry experiment uses</w:t>
      </w:r>
      <w:r>
        <w:rPr>
          <w:lang w:val="en-US"/>
        </w:rPr>
        <w:t xml:space="preserve"> </w:t>
      </w:r>
      <m:oMath>
        <m:r>
          <m:t>S</m:t>
        </m:r>
        <m:r>
          <m:rPr>
            <m:sty m:val="p"/>
          </m:rPr>
          <m:t>=</m:t>
        </m:r>
        <m:r>
          <m:t>K</m:t>
        </m:r>
        <m:r>
          <m:rPr>
            <m:sty m:val="p"/>
          </m:rPr>
          <m:t>=</m:t>
        </m:r>
        <m:r>
          <m:t>100</m:t>
        </m:r>
      </m:oMath>
      <w:r>
        <w:rPr>
          <w:lang w:val="en-US"/>
        </w:rPr>
        <w:t xml:space="preserve">, 30 days to expiry,</w:t>
      </w:r>
      <w:r>
        <w:rPr>
          <w:lang w:val="en-US"/>
        </w:rPr>
        <w:t xml:space="preserve"> </w:t>
      </w:r>
      <m:oMath>
        <m:r>
          <m:t>r</m:t>
        </m:r>
        <m:r>
          <m:rPr>
            <m:sty m:val="p"/>
          </m:rPr>
          <m:t>=</m:t>
        </m:r>
        <m:r>
          <m:t>0</m:t>
        </m:r>
      </m:oMath>
      <w:r>
        <w:rPr>
          <w:lang w:val="en-US"/>
        </w:rPr>
        <w:t xml:space="preserve">, and volatility 20%; it generates matched European BSM prices at effective yields</w:t>
      </w:r>
      <w:r>
        <w:rPr>
          <w:lang w:val="en-US"/>
        </w:rPr>
        <w:t xml:space="preserve"> </w:t>
      </w:r>
      <m:oMath>
        <m:r>
          <m:t>q</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5</m:t>
        </m:r>
        <m:r>
          <m:rPr>
            <m:sty m:val="p"/>
          </m:rPr>
          <m:t>}</m:t>
        </m:r>
        <m:r>
          <m:rPr>
            <m:sty m:val="p"/>
          </m:rPr>
          <m:t>%</m:t>
        </m:r>
      </m:oMath>
      <w:r>
        <w:rPr>
          <w:lang w:val="en-US"/>
        </w:rPr>
        <w:t xml:space="preserve"> </w:t>
      </w:r>
      <w:r>
        <w:rPr>
          <w:lang w:val="en-US"/>
        </w:rPr>
        <w:t xml:space="preserve">and then inverts each pair with</w:t>
      </w:r>
      <w:r>
        <w:rPr>
          <w:lang w:val="en-US"/>
        </w:rPr>
        <w:t xml:space="preserve"> </w:t>
      </w:r>
      <m:oMath>
        <m:r>
          <m:t>q</m:t>
        </m:r>
        <m:r>
          <m:rPr>
            <m:sty m:val="p"/>
          </m:rPr>
          <m:t>=</m:t>
        </m:r>
        <m:r>
          <m:t>0</m:t>
        </m:r>
      </m:oMath>
      <w:r>
        <w:rPr>
          <w:lang w:val="en-US"/>
        </w:rPr>
        <w:t xml:space="preserve">. The spot experiment uses the same spot, strike, maturity, and volatility, with</w:t>
      </w:r>
      <w:r>
        <w:rPr>
          <w:lang w:val="en-US"/>
        </w:rPr>
        <w:t xml:space="preserve"> </w:t>
      </w:r>
      <m:oMath>
        <m:r>
          <m:t>r</m:t>
        </m:r>
        <m:r>
          <m:rPr>
            <m:sty m:val="p"/>
          </m:rPr>
          <m:t>=</m:t>
        </m:r>
        <m:r>
          <m:t>q</m:t>
        </m:r>
        <m:r>
          <m:rPr>
            <m:sty m:val="p"/>
          </m:rPr>
          <m:t>=</m:t>
        </m:r>
        <m:r>
          <m:t>0</m:t>
        </m:r>
      </m:oMath>
      <w:r>
        <w:rPr>
          <w:lang w:val="en-US"/>
        </w:rPr>
        <w:t xml:space="preserve">: prices are generated at spot 100 and inverted with spot displaced by</w:t>
      </w:r>
      <w:r>
        <w:rPr>
          <w:lang w:val="en-US"/>
        </w:rPr>
        <w:t xml:space="preserve"> </w:t>
      </w:r>
      <m:oMath>
        <m:r>
          <m:rPr>
            <m:sty m:val="p"/>
          </m:rPr>
          <m:t>−</m:t>
        </m:r>
        <m:r>
          <m:t>0.25</m:t>
        </m:r>
        <m:r>
          <m:rPr>
            <m:sty m:val="p"/>
          </m:rPr>
          <m:t>,</m:t>
        </m:r>
        <m:r>
          <m:rPr>
            <m:sty m:val="p"/>
          </m:rPr>
          <m:t>−</m:t>
        </m:r>
        <m:r>
          <m:t>0.10</m:t>
        </m:r>
        <m:r>
          <m:rPr>
            <m:sty m:val="p"/>
          </m:rPr>
          <m:t>,</m:t>
        </m:r>
        <m:r>
          <m:rPr>
            <m:sty m:val="p"/>
          </m:rPr>
          <m:t>−</m:t>
        </m:r>
        <m:r>
          <m:t>0.05</m:t>
        </m:r>
        <m:r>
          <m:rPr>
            <m:sty m:val="p"/>
          </m:rPr>
          <m:t>,</m:t>
        </m:r>
        <m:r>
          <m:rPr>
            <m:sty m:val="p"/>
          </m:rPr>
          <m:t>−</m:t>
        </m:r>
        <m:r>
          <m:t>0.02</m:t>
        </m:r>
        <m:r>
          <m:rPr>
            <m:sty m:val="p"/>
          </m:rPr>
          <m:t>,</m:t>
        </m:r>
        <m:r>
          <m:t>0.02</m:t>
        </m:r>
        <m:r>
          <m:rPr>
            <m:sty m:val="p"/>
          </m:rPr>
          <m:t>,</m:t>
        </m:r>
        <m:r>
          <m:t>0.05</m:t>
        </m:r>
        <m:r>
          <m:rPr>
            <m:sty m:val="p"/>
          </m:rPr>
          <m:t>,</m:t>
        </m:r>
        <m:r>
          <m:t>0.10</m:t>
        </m:r>
        <m:r>
          <m:rPr>
            <m:sty m:val="p"/>
          </m:rPr>
          <m:t>,</m:t>
        </m:r>
        <m:r>
          <m:t>0.25</m:t>
        </m:r>
      </m:oMath>
      <w:r>
        <w:rPr>
          <w:lang w:val="en-US"/>
        </w:rPr>
        <w:t xml:space="preserve"> </w:t>
      </w:r>
      <w:r>
        <w:rPr>
          <w:lang w:val="en-US"/>
        </w:rPr>
        <w:t xml:space="preserve">currency units. Neither experiment identifies a borrow fee or an empirical timestamp effect.</w:t>
      </w:r>
    </w:p>
    <w:p>
      <w:pPr>
        <w:pStyle w:val="BodyText"/>
      </w:pPr>
      <w:r>
        <w:rPr>
          <w:b/>
          <w:bCs/>
          <w:lang w:val="en-US"/>
        </w:rPr>
        <w:t xml:space="preserve">Proposition (fixed-price common-map input sensitivity).</w:t>
      </w:r>
      <w:r>
        <w:rPr>
          <w:lang w:val="en-US"/>
        </w:rPr>
        <w:t xml:space="preserve"> </w:t>
      </w:r>
      <w:r>
        <w:rPr>
          <w:lang w:val="en-US"/>
        </w:rPr>
        <w:t xml:space="preserve">Hold observed call and put prices</w:t>
      </w:r>
      <w:r>
        <w:rPr>
          <w:lang w:val="en-US"/>
        </w:rPr>
        <w:t xml:space="preserve"> </w:t>
      </w:r>
      <m:oMath>
        <m:sSup>
          <m:e>
            <m:r>
              <m:t>C</m:t>
            </m:r>
          </m:e>
          <m:sup>
            <m:r>
              <m:rPr>
                <m:sty m:val="p"/>
              </m:rPr>
              <m:t>*</m:t>
            </m:r>
          </m:sup>
        </m:sSup>
        <m:r>
          <m:rPr>
            <m:sty m:val="p"/>
          </m:rPr>
          <m:t>,</m:t>
        </m:r>
        <m:sSup>
          <m:e>
            <m:r>
              <m:t>P</m:t>
            </m:r>
          </m:e>
          <m:sup>
            <m:r>
              <m:rPr>
                <m:sty m:val="p"/>
              </m:rPr>
              <m:t>*</m:t>
            </m:r>
          </m:sup>
        </m:sSup>
      </m:oMath>
      <w:r>
        <w:rPr>
          <w:lang w:val="en-US"/>
        </w:rPr>
        <w:t xml:space="preserve"> </w:t>
      </w:r>
      <w:r>
        <w:rPr>
          <w:lang w:val="en-US"/>
        </w:rPr>
        <w:t xml:space="preserve">fixed and suppose both have finite European-BSM implied-volatility roots</w:t>
      </w:r>
      <w:r>
        <w:rPr>
          <w:lang w:val="en-US"/>
        </w:rPr>
        <w:t xml:space="preserve"> </w:t>
      </w:r>
      <m:oMath>
        <m:sSub>
          <m:e>
            <m:r>
              <m:t>σ</m:t>
            </m:r>
          </m:e>
          <m:sub>
            <m:r>
              <m:t>C</m:t>
            </m:r>
          </m:sub>
        </m:sSub>
        <m:r>
          <m:rPr>
            <m:sty m:val="p"/>
          </m:rPr>
          <m:t>(</m:t>
        </m:r>
        <m:r>
          <m:t>x</m:t>
        </m:r>
        <m:r>
          <m:rPr>
            <m:sty m:val="p"/>
          </m:rPr>
          <m:t>)</m:t>
        </m:r>
        <m:r>
          <m:rPr>
            <m:sty m:val="p"/>
          </m:rPr>
          <m:t>,</m:t>
        </m:r>
        <m:sSub>
          <m:e>
            <m:r>
              <m:t>σ</m:t>
            </m:r>
          </m:e>
          <m:sub>
            <m:r>
              <m:t>P</m:t>
            </m:r>
          </m:sub>
        </m:sSub>
        <m:r>
          <m:rPr>
            <m:sty m:val="p"/>
          </m:rPr>
          <m:t>(</m:t>
        </m:r>
        <m:r>
          <m:t>x</m:t>
        </m:r>
        <m:r>
          <m:rPr>
            <m:sty m:val="p"/>
          </m:rPr>
          <m:t>)</m:t>
        </m:r>
      </m:oMath>
      <w:r>
        <w:rPr>
          <w:lang w:val="en-US"/>
        </w:rPr>
        <w:t xml:space="preserve"> </w:t>
      </w:r>
      <w:r>
        <w:rPr>
          <w:lang w:val="en-US"/>
        </w:rPr>
        <w:t xml:space="preserve">under common inputs</w:t>
      </w:r>
      <w:r>
        <w:rPr>
          <w:lang w:val="en-US"/>
        </w:rPr>
        <w:t xml:space="preserve"> </w:t>
      </w:r>
      <m:oMath>
        <m:r>
          <m:t>x</m:t>
        </m:r>
        <m:r>
          <m:rPr>
            <m:sty m:val="p"/>
          </m:rPr>
          <m:t>=</m:t>
        </m:r>
        <m:r>
          <m:rPr>
            <m:sty m:val="p"/>
          </m:rPr>
          <m:t>(</m:t>
        </m:r>
        <m:r>
          <m:t>S</m:t>
        </m:r>
        <m:r>
          <m:rPr>
            <m:sty m:val="p"/>
          </m:rPr>
          <m:t>,</m:t>
        </m:r>
        <m:r>
          <m:t>K</m:t>
        </m:r>
        <m:r>
          <m:rPr>
            <m:sty m:val="p"/>
          </m:rPr>
          <m:t>,</m:t>
        </m:r>
        <m:r>
          <m:t>T</m:t>
        </m:r>
        <m:r>
          <m:rPr>
            <m:sty m:val="p"/>
          </m:rPr>
          <m:t>,</m:t>
        </m:r>
        <m:r>
          <m:t>r</m:t>
        </m:r>
        <m:r>
          <m:rPr>
            <m:sty m:val="p"/>
          </m:rPr>
          <m:t>,</m:t>
        </m:r>
        <m:r>
          <m:t>q</m:t>
        </m:r>
        <m:r>
          <m:rPr>
            <m:sty m:val="p"/>
          </m:rPr>
          <m:t>)</m:t>
        </m:r>
      </m:oMath>
      <w:r>
        <w:rPr>
          <w:lang w:val="en-US"/>
        </w:rPr>
        <w:t xml:space="preserve">, with positive leg vegas</w:t>
      </w:r>
      <w:r>
        <w:rPr>
          <w:lang w:val="en-US"/>
        </w:rPr>
        <w:t xml:space="preserve"> </w:t>
      </w:r>
      <m:oMath>
        <m:sSub>
          <m:e>
            <m:r>
              <m:t>ν</m:t>
            </m:r>
          </m:e>
          <m:sub>
            <m:r>
              <m:t>C</m:t>
            </m:r>
          </m:sub>
        </m:sSub>
        <m:r>
          <m:rPr>
            <m:sty m:val="p"/>
          </m:rPr>
          <m:t>,</m:t>
        </m:r>
        <m:sSub>
          <m:e>
            <m:r>
              <m:t>ν</m:t>
            </m:r>
          </m:e>
          <m:sub>
            <m:r>
              <m:t>P</m:t>
            </m:r>
          </m:sub>
        </m:sSub>
      </m:oMath>
      <w:r>
        <w:rPr>
          <w:lang w:val="en-US"/>
        </w:rPr>
        <w:t xml:space="preserve"> </w:t>
      </w:r>
      <w:r>
        <w:rPr>
          <w:lang w:val="en-US"/>
        </w:rPr>
        <w:t xml:space="preserve">per decimal-volatility unit. Implicit differentiation gives the exact local derivatives</w:t>
      </w:r>
    </w:p>
    <w:p>
      <w:pPr>
        <w:pStyle w:val="BodyText"/>
      </w:pPr>
      <m:oMathPara>
        <m:oMathParaPr>
          <m:jc m:val="center"/>
        </m:oMathParaPr>
        <m:oMath>
          <m:f>
            <m:fPr>
              <m:type m:val="bar"/>
            </m:fPr>
            <m:num>
              <m:r>
                <m:rPr>
                  <m:sty m:val="p"/>
                </m:rPr>
                <m:t>∂</m:t>
              </m:r>
              <m:r>
                <m:t>C</m:t>
              </m:r>
              <m:r>
                <m:t>P</m:t>
              </m:r>
              <m:r>
                <m:t>I</m:t>
              </m:r>
              <m:sSub>
                <m:e>
                  <m:r>
                    <m:t>V</m:t>
                  </m:r>
                </m:e>
                <m:sub>
                  <m:r>
                    <m:t>p</m:t>
                  </m:r>
                  <m:r>
                    <m:t>p</m:t>
                  </m:r>
                </m:sub>
              </m:sSub>
            </m:num>
            <m:den>
              <m:r>
                <m:rPr>
                  <m:sty m:val="p"/>
                </m:rPr>
                <m:t>∂</m:t>
              </m:r>
              <m:r>
                <m:t>S</m:t>
              </m:r>
            </m:den>
          </m:f>
          <m:r>
            <m:rPr>
              <m:sty m:val="p"/>
            </m:rPr>
            <m:t>=</m:t>
          </m:r>
          <m:r>
            <m:t>100</m:t>
          </m:r>
          <m:sSup>
            <m:e>
              <m:r>
                <m:t>e</m:t>
              </m:r>
            </m:e>
            <m:sup>
              <m:r>
                <m:rPr>
                  <m:sty m:val="p"/>
                </m:rPr>
                <m:t>−</m:t>
              </m:r>
              <m:r>
                <m:t>q</m:t>
              </m:r>
              <m:r>
                <m:t>T</m:t>
              </m:r>
            </m:sup>
          </m:sSup>
          <m:d>
            <m:dPr>
              <m:begChr m:val="["/>
              <m:sepChr m:val=""/>
              <m:endChr m:val="]"/>
              <m:grow/>
            </m:dPr>
            <m:e>
              <m:r>
                <m:rPr>
                  <m:sty m:val="p"/>
                </m:rPr>
                <m:t>−</m:t>
              </m:r>
              <m:f>
                <m:fPr>
                  <m:type m:val="bar"/>
                </m:fPr>
                <m:num>
                  <m:r>
                    <m:t>N</m:t>
                  </m:r>
                  <m:r>
                    <m:rPr>
                      <m:sty m:val="p"/>
                    </m:rPr>
                    <m:t>(</m:t>
                  </m:r>
                  <m:sSub>
                    <m:e>
                      <m:r>
                        <m:t>d</m:t>
                      </m:r>
                    </m:e>
                    <m:sub>
                      <m:r>
                        <m:t>1</m:t>
                      </m:r>
                      <m:r>
                        <m:t>C</m:t>
                      </m:r>
                    </m:sub>
                  </m:sSub>
                  <m:r>
                    <m:rPr>
                      <m:sty m:val="p"/>
                    </m:rPr>
                    <m:t>)</m:t>
                  </m:r>
                </m:num>
                <m:den>
                  <m:sSub>
                    <m:e>
                      <m:r>
                        <m:t>ν</m:t>
                      </m:r>
                    </m:e>
                    <m:sub>
                      <m:r>
                        <m:t>C</m:t>
                      </m:r>
                    </m:sub>
                  </m:sSub>
                </m:den>
              </m:f>
              <m:r>
                <m:rPr>
                  <m:sty m:val="p"/>
                </m:rPr>
                <m:t>+</m:t>
              </m:r>
              <m:f>
                <m:fPr>
                  <m:type m:val="bar"/>
                </m:fPr>
                <m:num>
                  <m:r>
                    <m:t>N</m:t>
                  </m:r>
                  <m:r>
                    <m:rPr>
                      <m:sty m:val="p"/>
                    </m:rPr>
                    <m:t>(</m:t>
                  </m:r>
                  <m:sSub>
                    <m:e>
                      <m:r>
                        <m:t>d</m:t>
                      </m:r>
                    </m:e>
                    <m:sub>
                      <m:r>
                        <m:t>1</m:t>
                      </m:r>
                      <m:r>
                        <m:t>P</m:t>
                      </m:r>
                    </m:sub>
                  </m:sSub>
                  <m:r>
                    <m:rPr>
                      <m:sty m:val="p"/>
                    </m:rPr>
                    <m:t>)</m:t>
                  </m:r>
                  <m:r>
                    <m:rPr>
                      <m:sty m:val="p"/>
                    </m:rPr>
                    <m:t>−</m:t>
                  </m:r>
                  <m:r>
                    <m:t>1</m:t>
                  </m:r>
                </m:num>
                <m:den>
                  <m:sSub>
                    <m:e>
                      <m:r>
                        <m:t>ν</m:t>
                      </m:r>
                    </m:e>
                    <m:sub>
                      <m:r>
                        <m:t>P</m:t>
                      </m:r>
                    </m:sub>
                  </m:sSub>
                </m:den>
              </m:f>
            </m:e>
          </m:d>
          <m:r>
            <m:rPr>
              <m:sty m:val="p"/>
            </m:rPr>
            <m:t>,</m:t>
          </m:r>
        </m:oMath>
      </m:oMathPara>
    </w:p>
    <w:p>
      <w:pPr>
        <w:pStyle w:val="FirstParagraph"/>
      </w:pPr>
      <m:oMathPara>
        <m:oMathParaPr>
          <m:jc m:val="center"/>
        </m:oMathParaPr>
        <m:oMath>
          <m:f>
            <m:fPr>
              <m:type m:val="bar"/>
            </m:fPr>
            <m:num>
              <m:r>
                <m:rPr>
                  <m:sty m:val="p"/>
                </m:rPr>
                <m:t>∂</m:t>
              </m:r>
              <m:r>
                <m:t>C</m:t>
              </m:r>
              <m:r>
                <m:t>P</m:t>
              </m:r>
              <m:r>
                <m:t>I</m:t>
              </m:r>
              <m:sSub>
                <m:e>
                  <m:r>
                    <m:t>V</m:t>
                  </m:r>
                </m:e>
                <m:sub>
                  <m:r>
                    <m:t>p</m:t>
                  </m:r>
                  <m:r>
                    <m:t>p</m:t>
                  </m:r>
                </m:sub>
              </m:sSub>
            </m:num>
            <m:den>
              <m:r>
                <m:rPr>
                  <m:sty m:val="p"/>
                </m:rPr>
                <m:t>∂</m:t>
              </m:r>
              <m:r>
                <m:t>q</m:t>
              </m:r>
            </m:den>
          </m:f>
          <m:r>
            <m:rPr>
              <m:sty m:val="p"/>
            </m:rPr>
            <m:t>=</m:t>
          </m:r>
          <m:r>
            <m:t>100</m:t>
          </m:r>
          <m:r>
            <m:t>T</m:t>
          </m:r>
          <m:r>
            <m:t>S</m:t>
          </m:r>
          <m:sSup>
            <m:e>
              <m:r>
                <m:t>e</m:t>
              </m:r>
            </m:e>
            <m:sup>
              <m:r>
                <m:rPr>
                  <m:sty m:val="p"/>
                </m:rPr>
                <m:t>−</m:t>
              </m:r>
              <m:r>
                <m:t>q</m:t>
              </m:r>
              <m:r>
                <m:t>T</m:t>
              </m:r>
            </m:sup>
          </m:sSup>
          <m:d>
            <m:dPr>
              <m:begChr m:val="["/>
              <m:sepChr m:val=""/>
              <m:endChr m:val="]"/>
              <m:grow/>
            </m:dPr>
            <m:e>
              <m:f>
                <m:fPr>
                  <m:type m:val="bar"/>
                </m:fPr>
                <m:num>
                  <m:r>
                    <m:t>N</m:t>
                  </m:r>
                  <m:r>
                    <m:rPr>
                      <m:sty m:val="p"/>
                    </m:rPr>
                    <m:t>(</m:t>
                  </m:r>
                  <m:sSub>
                    <m:e>
                      <m:r>
                        <m:t>d</m:t>
                      </m:r>
                    </m:e>
                    <m:sub>
                      <m:r>
                        <m:t>1</m:t>
                      </m:r>
                      <m:r>
                        <m:t>C</m:t>
                      </m:r>
                    </m:sub>
                  </m:sSub>
                  <m:r>
                    <m:rPr>
                      <m:sty m:val="p"/>
                    </m:rPr>
                    <m:t>)</m:t>
                  </m:r>
                </m:num>
                <m:den>
                  <m:sSub>
                    <m:e>
                      <m:r>
                        <m:t>ν</m:t>
                      </m:r>
                    </m:e>
                    <m:sub>
                      <m:r>
                        <m:t>C</m:t>
                      </m:r>
                    </m:sub>
                  </m:sSub>
                </m:den>
              </m:f>
              <m:r>
                <m:rPr>
                  <m:sty m:val="p"/>
                </m:rPr>
                <m:t>+</m:t>
              </m:r>
              <m:f>
                <m:fPr>
                  <m:type m:val="bar"/>
                </m:fPr>
                <m:num>
                  <m:r>
                    <m:t>N</m:t>
                  </m:r>
                  <m:r>
                    <m:rPr>
                      <m:sty m:val="p"/>
                    </m:rPr>
                    <m:t>(</m:t>
                  </m:r>
                  <m:r>
                    <m:rPr>
                      <m:sty m:val="p"/>
                    </m:rPr>
                    <m:t>−</m:t>
                  </m:r>
                  <m:sSub>
                    <m:e>
                      <m:r>
                        <m:t>d</m:t>
                      </m:r>
                    </m:e>
                    <m:sub>
                      <m:r>
                        <m:t>1</m:t>
                      </m:r>
                      <m:r>
                        <m:t>P</m:t>
                      </m:r>
                    </m:sub>
                  </m:sSub>
                  <m:r>
                    <m:rPr>
                      <m:sty m:val="p"/>
                    </m:rPr>
                    <m:t>)</m:t>
                  </m:r>
                </m:num>
                <m:den>
                  <m:sSub>
                    <m:e>
                      <m:r>
                        <m:t>ν</m:t>
                      </m:r>
                    </m:e>
                    <m:sub>
                      <m:r>
                        <m:t>P</m:t>
                      </m:r>
                    </m:sub>
                  </m:sSub>
                </m:den>
              </m:f>
            </m:e>
          </m:d>
          <m:r>
            <m:rPr>
              <m:sty m:val="p"/>
            </m:rPr>
            <m:t>,</m:t>
          </m:r>
        </m:oMath>
      </m:oMathPara>
    </w:p>
    <w:p>
      <w:pPr>
        <w:pStyle w:val="FirstParagraph"/>
      </w:pPr>
      <w:r>
        <w:rPr>
          <w:lang w:val="en-US"/>
        </w:rPr>
        <w:t xml:space="preserve">where</w:t>
      </w:r>
      <w:r>
        <w:rPr>
          <w:lang w:val="en-US"/>
        </w:rPr>
        <w:t xml:space="preserve"> </w:t>
      </w:r>
      <m:oMath>
        <m:sSub>
          <m:e>
            <m:r>
              <m:t>d</m:t>
            </m:r>
          </m:e>
          <m:sub>
            <m:r>
              <m:t>1</m:t>
            </m:r>
            <m:r>
              <m:t>C</m:t>
            </m:r>
          </m:sub>
        </m:sSub>
      </m:oMath>
      <w:r>
        <w:rPr>
          <w:lang w:val="en-US"/>
        </w:rPr>
        <w:t xml:space="preserve"> </w:t>
      </w:r>
      <w:r>
        <w:rPr>
          <w:lang w:val="en-US"/>
        </w:rPr>
        <w:t xml:space="preserve">and</w:t>
      </w:r>
      <w:r>
        <w:rPr>
          <w:lang w:val="en-US"/>
        </w:rPr>
        <w:t xml:space="preserve"> </w:t>
      </w:r>
      <m:oMath>
        <m:sSub>
          <m:e>
            <m:r>
              <m:t>d</m:t>
            </m:r>
          </m:e>
          <m:sub>
            <m:r>
              <m:t>1</m:t>
            </m:r>
            <m:r>
              <m:t>P</m:t>
            </m:r>
          </m:sub>
        </m:sSub>
      </m:oMath>
      <w:r>
        <w:rPr>
          <w:lang w:val="en-US"/>
        </w:rPr>
        <w:t xml:space="preserve"> </w:t>
      </w:r>
      <w:r>
        <w:rPr>
          <w:lang w:val="en-US"/>
        </w:rPr>
        <w:t xml:space="preserve">are evaluated at their respective implied-volatility roots and</w:t>
      </w:r>
      <w:r>
        <w:rPr>
          <w:lang w:val="en-US"/>
        </w:rPr>
        <w:t xml:space="preserve"> </w:t>
      </w:r>
      <m:oMath>
        <m:r>
          <m:t>T</m:t>
        </m:r>
      </m:oMath>
      <w:r>
        <w:rPr>
          <w:lang w:val="en-US"/>
        </w:rPr>
        <w:t xml:space="preserve"> </w:t>
      </w:r>
      <w:r>
        <w:rPr>
          <w:lang w:val="en-US"/>
        </w:rPr>
        <w:t xml:space="preserve">is in years. These are local derivatives for fixed premiums, not finite-change identities. Under the same continuous-carry convention, an independently observed forward implies</w:t>
      </w:r>
      <w:r>
        <w:rPr>
          <w:lang w:val="en-US"/>
        </w:rPr>
        <w:t xml:space="preserve"> </w:t>
      </w:r>
      <m:oMath>
        <m:r>
          <m:t>q</m:t>
        </m:r>
        <m:r>
          <m:rPr>
            <m:sty m:val="p"/>
          </m:rPr>
          <m:t>=</m:t>
        </m:r>
        <m:r>
          <m:t>r</m:t>
        </m:r>
        <m:r>
          <m:rPr>
            <m:sty m:val="p"/>
          </m:rPr>
          <m:t>−</m:t>
        </m:r>
        <m:r>
          <m:rPr>
            <m:sty m:val="p"/>
          </m:rPr>
          <m:t>log</m:t>
        </m:r>
        <m:r>
          <m:rPr>
            <m:sty m:val="p"/>
          </m:rPr>
          <m:t>(</m:t>
        </m:r>
        <m:r>
          <m:t>F</m:t>
        </m:r>
        <m:r>
          <m:rPr>
            <m:sty m:val="p"/>
          </m:rPr>
          <m:t>/</m:t>
        </m:r>
        <m:r>
          <m:t>S</m:t>
        </m:r>
        <m:r>
          <m:rPr>
            <m:sty m:val="p"/>
          </m:rPr>
          <m:t>)</m:t>
        </m:r>
        <m:r>
          <m:rPr>
            <m:sty m:val="p"/>
          </m:rPr>
          <m:t>/</m:t>
        </m:r>
        <m:r>
          <m:t>T</m:t>
        </m:r>
      </m:oMath>
      <w:r>
        <w:rPr>
          <w:lang w:val="en-US"/>
        </w:rPr>
        <w:t xml:space="preserve">, equivalently</w:t>
      </w:r>
      <w:r>
        <w:rPr>
          <w:lang w:val="en-US"/>
        </w:rPr>
        <w:t xml:space="preserve"> </w:t>
      </w:r>
      <m:oMath>
        <m:r>
          <m:t>F</m:t>
        </m:r>
        <m:r>
          <m:rPr>
            <m:sty m:val="p"/>
          </m:rPr>
          <m:t>=</m:t>
        </m:r>
        <m:r>
          <m:t>S</m:t>
        </m:r>
        <m:r>
          <m:rPr>
            <m:sty m:val="p"/>
          </m:rPr>
          <m:t>exp</m:t>
        </m:r>
        <m:r>
          <m:rPr>
            <m:sty m:val="p"/>
          </m:rPr>
          <m:t>(</m:t>
        </m:r>
        <m:r>
          <m:rPr>
            <m:sty m:val="p"/>
          </m:rPr>
          <m:t>(</m:t>
        </m:r>
        <m:r>
          <m:t>r</m:t>
        </m:r>
        <m:r>
          <m:rPr>
            <m:sty m:val="p"/>
          </m:rPr>
          <m:t>−</m:t>
        </m:r>
        <m:r>
          <m:t>q</m:t>
        </m:r>
        <m:r>
          <m:rPr>
            <m:sty m:val="p"/>
          </m:rPr>
          <m:t>)</m:t>
        </m:r>
        <m:r>
          <m:t>T</m:t>
        </m:r>
        <m:r>
          <m:rPr>
            <m:sty m:val="p"/>
          </m:rPr>
          <m:t>)</m:t>
        </m:r>
      </m:oMath>
      <w:r>
        <w:rPr>
          <w:lang w:val="en-US"/>
        </w:rPr>
        <w:t xml:space="preserve">. The forward and spot must be synchronized and independently sourced; inferring a forward from the same call–put pair would make this check circular.</w:t>
      </w:r>
    </w:p>
    <w:p>
      <w:pPr>
        <w:pStyle w:val="BodyText"/>
      </w:pPr>
      <w:r>
        <w:rPr>
          <w:lang w:val="en-US"/>
        </w:rPr>
        <w:t xml:space="preserve">For a predeclared CPIV tolerance</w:t>
      </w:r>
      <w:r>
        <w:rPr>
          <w:lang w:val="en-US"/>
        </w:rPr>
        <w:t xml:space="preserve"> </w:t>
      </w:r>
      <m:oMath>
        <m:r>
          <m:t>τ</m:t>
        </m:r>
      </m:oMath>
      <w:r>
        <w:rPr>
          <w:lang w:val="en-US"/>
        </w:rPr>
        <w:t xml:space="preserve"> </w:t>
      </w:r>
      <w:r>
        <w:rPr>
          <w:lang w:val="en-US"/>
        </w:rPr>
        <w:t xml:space="preserve">in percentage points, the local conversion is</w:t>
      </w:r>
      <w:r>
        <w:rPr>
          <w:lang w:val="en-US"/>
        </w:rPr>
        <w:t xml:space="preserve"> </w:t>
      </w:r>
      <m:oMath>
        <m:r>
          <m:rPr>
            <m:sty m:val="p"/>
          </m:rPr>
          <m:t>∂</m:t>
        </m:r>
        <m:r>
          <m:t>C</m:t>
        </m:r>
        <m:r>
          <m:t>P</m:t>
        </m:r>
        <m:r>
          <m:t>I</m:t>
        </m:r>
        <m:sSub>
          <m:e>
            <m:r>
              <m:t>V</m:t>
            </m:r>
          </m:e>
          <m:sub>
            <m:r>
              <m:t>p</m:t>
            </m:r>
            <m:r>
              <m:t>p</m:t>
            </m:r>
          </m:sub>
        </m:sSub>
        <m:r>
          <m:rPr>
            <m:sty m:val="p"/>
          </m:rPr>
          <m:t>/</m:t>
        </m:r>
        <m:r>
          <m:rPr>
            <m:sty m:val="p"/>
          </m:rPr>
          <m:t>∂</m:t>
        </m:r>
        <m:r>
          <m:rPr>
            <m:sty m:val="p"/>
          </m:rPr>
          <m:t>log</m:t>
        </m:r>
        <m:r>
          <m:t>F</m:t>
        </m:r>
        <m:r>
          <m:rPr>
            <m:sty m:val="p"/>
          </m:rPr>
          <m:t>=</m:t>
        </m:r>
        <m:r>
          <m:rPr>
            <m:sty m:val="p"/>
          </m:rPr>
          <m:t>−</m:t>
        </m:r>
        <m:r>
          <m:rPr>
            <m:sty m:val="p"/>
          </m:rPr>
          <m:t>(</m:t>
        </m:r>
        <m:r>
          <m:t>1</m:t>
        </m:r>
        <m:r>
          <m:rPr>
            <m:sty m:val="p"/>
          </m:rPr>
          <m:t>/</m:t>
        </m:r>
        <m:r>
          <m:t>T</m:t>
        </m:r>
        <m:r>
          <m:rPr>
            <m:sty m:val="p"/>
          </m:rPr>
          <m:t>)</m:t>
        </m:r>
        <m:r>
          <m:rPr>
            <m:sty m:val="p"/>
          </m:rPr>
          <m:t>∂</m:t>
        </m:r>
        <m:r>
          <m:t>C</m:t>
        </m:r>
        <m:r>
          <m:t>P</m:t>
        </m:r>
        <m:r>
          <m:t>I</m:t>
        </m:r>
        <m:sSub>
          <m:e>
            <m:r>
              <m:t>V</m:t>
            </m:r>
          </m:e>
          <m:sub>
            <m:r>
              <m:t>p</m:t>
            </m:r>
            <m:r>
              <m:t>p</m:t>
            </m:r>
          </m:sub>
        </m:sSub>
        <m:r>
          <m:rPr>
            <m:sty m:val="p"/>
          </m:rPr>
          <m:t>/</m:t>
        </m:r>
        <m:r>
          <m:rPr>
            <m:sty m:val="p"/>
          </m:rPr>
          <m:t>∂</m:t>
        </m:r>
        <m:r>
          <m:t>q</m:t>
        </m:r>
      </m:oMath>
      <w:r>
        <w:rPr>
          <w:lang w:val="en-US"/>
        </w:rPr>
        <w:t xml:space="preserve">. In the synthetic ATM, 30-day, 20%-IV example, a 1-basis-point relative-forward discrepancy corresponds to 0.087469 CPIV points; equivalently, a 1% forward discrepancy corresponds locally to 8.7469 CPIV points. Thus a 1-point CPIV tolerance maps to approximately 11.4326 basis points, or 0.114326% of the forward. This conversion depends on moneyness, maturity, and both implied roots; it is a local diagnostic, not a universal acceptance threshold. Larger discrepancies should be evaluated by exact re-inversion rather than extrapolating the tangent.</w:t>
      </w:r>
    </w:p>
    <w:p>
      <w:pPr>
        <w:pStyle w:val="BodyText"/>
      </w:pPr>
      <w:r>
        <w:rPr>
          <w:lang w:val="en-US"/>
        </w:rPr>
        <w:t xml:space="preserve">The American-put comparison fixes</w:t>
      </w:r>
      <w:r>
        <w:rPr>
          <w:lang w:val="en-US"/>
        </w:rPr>
        <w:t xml:space="preserve"> </w:t>
      </w:r>
      <m:oMath>
        <m:r>
          <m:t>S</m:t>
        </m:r>
        <m:r>
          <m:rPr>
            <m:sty m:val="p"/>
          </m:rPr>
          <m:t>=</m:t>
        </m:r>
        <m:r>
          <m:t>K</m:t>
        </m:r>
        <m:r>
          <m:rPr>
            <m:sty m:val="p"/>
          </m:rPr>
          <m:t>=</m:t>
        </m:r>
        <m:r>
          <m:t>100</m:t>
        </m:r>
      </m:oMath>
      <w:r>
        <w:rPr>
          <w:lang w:val="en-US"/>
        </w:rPr>
        <w:t xml:space="preserve">, 30 days,</w:t>
      </w:r>
      <w:r>
        <w:rPr>
          <w:lang w:val="en-US"/>
        </w:rPr>
        <w:t xml:space="preserve"> </w:t>
      </w:r>
      <m:oMath>
        <m:r>
          <m:t>r</m:t>
        </m:r>
        <m:r>
          <m:rPr>
            <m:sty m:val="p"/>
          </m:rPr>
          <m:t>=</m:t>
        </m:r>
        <m:r>
          <m:t>5</m:t>
        </m:r>
        <m:r>
          <m:rPr>
            <m:sty m:val="p"/>
          </m:rPr>
          <m:t>%</m:t>
        </m:r>
      </m:oMath>
      <w:r>
        <w:rPr>
          <w:lang w:val="en-US"/>
        </w:rPr>
        <w:t xml:space="preserve">,</w:t>
      </w:r>
      <w:r>
        <w:rPr>
          <w:lang w:val="en-US"/>
        </w:rPr>
        <w:t xml:space="preserve"> </w:t>
      </w:r>
      <m:oMath>
        <m:r>
          <m:t>q</m:t>
        </m:r>
        <m:r>
          <m:rPr>
            <m:sty m:val="p"/>
          </m:rPr>
          <m:t>=</m:t>
        </m:r>
        <m:r>
          <m:t>0</m:t>
        </m:r>
      </m:oMath>
      <w:r>
        <w:rPr>
          <w:lang w:val="en-US"/>
        </w:rPr>
        <w:t xml:space="preserve">, and</w:t>
      </w:r>
      <w:r>
        <w:rPr>
          <w:lang w:val="en-US"/>
        </w:rPr>
        <w:t xml:space="preserve"> </w:t>
      </w:r>
      <m:oMath>
        <m:r>
          <m:t>σ</m:t>
        </m:r>
        <m:r>
          <m:rPr>
            <m:sty m:val="p"/>
          </m:rPr>
          <m:t>=</m:t>
        </m:r>
        <m:r>
          <m:t>20</m:t>
        </m:r>
        <m:r>
          <m:rPr>
            <m:sty m:val="p"/>
          </m:rPr>
          <m:t>%</m:t>
        </m:r>
      </m:oMath>
      <w:r>
        <w:rPr>
          <w:lang w:val="en-US"/>
        </w:rPr>
        <w:t xml:space="preserve">; it pairs a European BSM call with an American put valued by CRR and an equal-probability Jarrow–Rudd tree. CRR uses</w:t>
      </w:r>
      <w:r>
        <w:rPr>
          <w:lang w:val="en-US"/>
        </w:rPr>
        <w:t xml:space="preserve"> </w:t>
      </w:r>
      <m:oMath>
        <m:r>
          <m:t>u</m:t>
        </m:r>
        <m:r>
          <m:rPr>
            <m:sty m:val="p"/>
          </m:rPr>
          <m:t>=</m:t>
        </m:r>
        <m:sSup>
          <m:e>
            <m:r>
              <m:t>e</m:t>
            </m:r>
          </m:e>
          <m:sup>
            <m:r>
              <m:t>σ</m:t>
            </m:r>
            <m:rad>
              <m:radPr>
                <m:degHide m:val="on"/>
              </m:radPr>
              <m:deg/>
              <m:e>
                <m:r>
                  <m:rPr>
                    <m:sty m:val="p"/>
                  </m:rPr>
                  <m:t>Δ</m:t>
                </m:r>
                <m:r>
                  <m:t>t</m:t>
                </m:r>
              </m:e>
            </m:rad>
          </m:sup>
        </m:sSup>
      </m:oMath>
      <w:r>
        <w:rPr>
          <w:lang w:val="en-US"/>
        </w:rPr>
        <w:t xml:space="preserve">,</w:t>
      </w:r>
      <w:r>
        <w:rPr>
          <w:lang w:val="en-US"/>
        </w:rPr>
        <w:t xml:space="preserve"> </w:t>
      </w:r>
      <m:oMath>
        <m:r>
          <m:t>d</m:t>
        </m:r>
        <m:r>
          <m:rPr>
            <m:sty m:val="p"/>
          </m:rPr>
          <m:t>=</m:t>
        </m:r>
        <m:r>
          <m:t>1</m:t>
        </m:r>
        <m:r>
          <m:rPr>
            <m:sty m:val="p"/>
          </m:rPr>
          <m:t>/</m:t>
        </m:r>
        <m:r>
          <m:t>u</m:t>
        </m:r>
      </m:oMath>
      <w:r>
        <w:rPr>
          <w:lang w:val="en-US"/>
        </w:rPr>
        <w:t xml:space="preserve">, and risk-neutral probability</w:t>
      </w:r>
      <w:r>
        <w:rPr>
          <w:lang w:val="en-US"/>
        </w:rPr>
        <w:t xml:space="preserve"> </w:t>
      </w:r>
      <m:oMath>
        <m:r>
          <m:t>p</m:t>
        </m:r>
        <m:r>
          <m:rPr>
            <m:sty m:val="p"/>
          </m:rPr>
          <m:t>=</m:t>
        </m:r>
        <m:r>
          <m:rPr>
            <m:sty m:val="p"/>
          </m:rPr>
          <m:t>(</m:t>
        </m:r>
        <m:sSup>
          <m:e>
            <m:r>
              <m:t>e</m:t>
            </m:r>
          </m:e>
          <m:sup>
            <m:r>
              <m:rPr>
                <m:sty m:val="p"/>
              </m:rPr>
              <m:t>(</m:t>
            </m:r>
            <m:r>
              <m:t>r</m:t>
            </m:r>
            <m:r>
              <m:rPr>
                <m:sty m:val="p"/>
              </m:rPr>
              <m:t>−</m:t>
            </m:r>
            <m:r>
              <m:t>q</m:t>
            </m:r>
            <m:r>
              <m:rPr>
                <m:sty m:val="p"/>
              </m:rPr>
              <m:t>)</m:t>
            </m:r>
            <m:r>
              <m:rPr>
                <m:sty m:val="p"/>
              </m:rPr>
              <m:t>Δ</m:t>
            </m:r>
            <m:r>
              <m:t>t</m:t>
            </m:r>
          </m:sup>
        </m:sSup>
        <m:r>
          <m:rPr>
            <m:sty m:val="p"/>
          </m:rPr>
          <m:t>−</m:t>
        </m:r>
        <m:r>
          <m:t>d</m:t>
        </m:r>
        <m:r>
          <m:rPr>
            <m:sty m:val="p"/>
          </m:rPr>
          <m:t>)</m:t>
        </m:r>
        <m:r>
          <m:rPr>
            <m:sty m:val="p"/>
          </m:rPr>
          <m:t>/</m:t>
        </m:r>
        <m:r>
          <m:rPr>
            <m:sty m:val="p"/>
          </m:rPr>
          <m:t>(</m:t>
        </m:r>
        <m:r>
          <m:t>u</m:t>
        </m:r>
        <m:r>
          <m:rPr>
            <m:sty m:val="p"/>
          </m:rPr>
          <m:t>−</m:t>
        </m:r>
        <m:r>
          <m:t>d</m:t>
        </m:r>
        <m:r>
          <m:rPr>
            <m:sty m:val="p"/>
          </m:rPr>
          <m:t>)</m:t>
        </m:r>
      </m:oMath>
      <w:r>
        <w:rPr>
          <w:lang w:val="en-US"/>
        </w:rPr>
        <w:t xml:space="preserve">, with early exercise at each node. The implemented Jarrow–Rudd variant uses</w:t>
      </w:r>
      <w:r>
        <w:rPr>
          <w:lang w:val="en-US"/>
        </w:rPr>
        <w:t xml:space="preserve"> </w:t>
      </w:r>
      <m:oMath>
        <m:r>
          <m:t>u</m:t>
        </m:r>
        <m:r>
          <m:rPr>
            <m:sty m:val="p"/>
          </m:rPr>
          <m:t>=</m:t>
        </m:r>
        <m:sSup>
          <m:e>
            <m:r>
              <m:t>e</m:t>
            </m:r>
          </m:e>
          <m:sup>
            <m:r>
              <m:rPr>
                <m:sty m:val="p"/>
              </m:rPr>
              <m:t>(</m:t>
            </m:r>
            <m:r>
              <m:t>r</m:t>
            </m:r>
            <m:r>
              <m:rPr>
                <m:sty m:val="p"/>
              </m:rPr>
              <m:t>−</m:t>
            </m:r>
            <m:r>
              <m:t>q</m:t>
            </m:r>
            <m:r>
              <m:rPr>
                <m:sty m:val="p"/>
              </m:rPr>
              <m:t>−</m:t>
            </m:r>
            <m:sSup>
              <m:e>
                <m:r>
                  <m:t>σ</m:t>
                </m:r>
              </m:e>
              <m:sup>
                <m:r>
                  <m:t>2</m:t>
                </m:r>
              </m:sup>
            </m:sSup>
            <m:r>
              <m:rPr>
                <m:sty m:val="p"/>
              </m:rPr>
              <m:t>/</m:t>
            </m:r>
            <m:r>
              <m:t>2</m:t>
            </m:r>
            <m:r>
              <m:rPr>
                <m:sty m:val="p"/>
              </m:rPr>
              <m:t>)</m:t>
            </m:r>
            <m:r>
              <m:rPr>
                <m:sty m:val="p"/>
              </m:rPr>
              <m:t>Δ</m:t>
            </m:r>
            <m:r>
              <m:t>t</m:t>
            </m:r>
            <m:r>
              <m:rPr>
                <m:sty m:val="p"/>
              </m:rPr>
              <m:t>+</m:t>
            </m:r>
            <m:r>
              <m:t>σ</m:t>
            </m:r>
            <m:rad>
              <m:radPr>
                <m:degHide m:val="on"/>
              </m:radPr>
              <m:deg/>
              <m:e>
                <m:r>
                  <m:rPr>
                    <m:sty m:val="p"/>
                  </m:rPr>
                  <m:t>Δ</m:t>
                </m:r>
                <m:r>
                  <m:t>t</m:t>
                </m:r>
              </m:e>
            </m:rad>
          </m:sup>
        </m:sSup>
      </m:oMath>
      <w:r>
        <w:rPr>
          <w:lang w:val="en-US"/>
        </w:rPr>
        <w:t xml:space="preserve">,</w:t>
      </w:r>
      <w:r>
        <w:rPr>
          <w:lang w:val="en-US"/>
        </w:rPr>
        <w:t xml:space="preserve"> </w:t>
      </w:r>
      <m:oMath>
        <m:r>
          <m:t>d</m:t>
        </m:r>
        <m:r>
          <m:rPr>
            <m:sty m:val="p"/>
          </m:rPr>
          <m:t>=</m:t>
        </m:r>
        <m:sSup>
          <m:e>
            <m:r>
              <m:t>e</m:t>
            </m:r>
          </m:e>
          <m:sup>
            <m:r>
              <m:rPr>
                <m:sty m:val="p"/>
              </m:rPr>
              <m:t>(</m:t>
            </m:r>
            <m:r>
              <m:t>r</m:t>
            </m:r>
            <m:r>
              <m:rPr>
                <m:sty m:val="p"/>
              </m:rPr>
              <m:t>−</m:t>
            </m:r>
            <m:r>
              <m:t>q</m:t>
            </m:r>
            <m:r>
              <m:rPr>
                <m:sty m:val="p"/>
              </m:rPr>
              <m:t>−</m:t>
            </m:r>
            <m:sSup>
              <m:e>
                <m:r>
                  <m:t>σ</m:t>
                </m:r>
              </m:e>
              <m:sup>
                <m:r>
                  <m:t>2</m:t>
                </m:r>
              </m:sup>
            </m:sSup>
            <m:r>
              <m:rPr>
                <m:sty m:val="p"/>
              </m:rPr>
              <m:t>/</m:t>
            </m:r>
            <m:r>
              <m:t>2</m:t>
            </m:r>
            <m:r>
              <m:rPr>
                <m:sty m:val="p"/>
              </m:rPr>
              <m:t>)</m:t>
            </m:r>
            <m:r>
              <m:rPr>
                <m:sty m:val="p"/>
              </m:rPr>
              <m:t>Δ</m:t>
            </m:r>
            <m:r>
              <m:t>t</m:t>
            </m:r>
            <m:r>
              <m:rPr>
                <m:sty m:val="p"/>
              </m:rPr>
              <m:t>−</m:t>
            </m:r>
            <m:r>
              <m:t>σ</m:t>
            </m:r>
            <m:rad>
              <m:radPr>
                <m:degHide m:val="on"/>
              </m:radPr>
              <m:deg/>
              <m:e>
                <m:r>
                  <m:rPr>
                    <m:sty m:val="p"/>
                  </m:rPr>
                  <m:t>Δ</m:t>
                </m:r>
                <m:r>
                  <m:t>t</m:t>
                </m:r>
              </m:e>
            </m:rad>
          </m:sup>
        </m:sSup>
      </m:oMath>
      <w:r>
        <w:rPr>
          <w:lang w:val="en-US"/>
        </w:rPr>
        <w:t xml:space="preserve">, and probability 1/2, also with early exercise. Both are compared at 400, 800, 1,600, 3,200, and 6,400 steps. A successive-grid CPIV change below 0.001 percentage points is a descriptive audit threshold, not a formal error bound or preregistered stopping rule; the two schemes are not asserted to be exact American benchmarks (Cox et al., 1979; Jarrow &amp; Rudd, 1983).</w:t>
      </w:r>
    </w:p>
    <w:bookmarkEnd w:id="18"/>
    <w:bookmarkStart w:id="19" w:name="quote-implied-intervals"/>
    <w:p>
      <w:pPr>
        <w:pStyle w:val="Heading3"/>
      </w:pPr>
      <w:r>
        <w:rPr>
          <w:lang w:val="en-US"/>
        </w:rPr>
        <w:t xml:space="preserve">6.3 Quote-implied intervals</w:t>
      </w:r>
    </w:p>
    <w:p>
      <w:pPr>
        <w:pStyle w:val="FirstParagraph"/>
      </w:pPr>
      <w:r>
        <w:rPr>
          <w:lang w:val="en-US"/>
        </w:rPr>
        <w:t xml:space="preserve">When all four bid/ask endpoint prices admit finite European IVs under the same inputs, the quote-implied range is</w:t>
      </w:r>
    </w:p>
    <w:p>
      <w:pPr>
        <w:pStyle w:val="BodyText"/>
      </w:pPr>
      <m:oMathPara>
        <m:oMathParaPr>
          <m:jc m:val="center"/>
        </m:oMathParaPr>
        <m:oMath>
          <m:r>
            <m:t>100</m:t>
          </m:r>
          <m:d>
            <m:dPr>
              <m:begChr m:val="["/>
              <m:sepChr m:val=""/>
              <m:endChr m:val="]"/>
              <m:grow/>
            </m:dPr>
            <m:e>
              <m:r>
                <m:t>I</m:t>
              </m:r>
              <m:r>
                <m:t>V</m:t>
              </m:r>
              <m:r>
                <m:rPr>
                  <m:sty m:val="p"/>
                </m:rPr>
                <m:t>(</m:t>
              </m:r>
              <m:sSub>
                <m:e>
                  <m:r>
                    <m:t>C</m:t>
                  </m:r>
                </m:e>
                <m:sub>
                  <m:r>
                    <m:t>b</m:t>
                  </m:r>
                  <m:r>
                    <m:t>i</m:t>
                  </m:r>
                  <m:r>
                    <m:t>d</m:t>
                  </m:r>
                </m:sub>
              </m:sSub>
              <m:r>
                <m:rPr>
                  <m:sty m:val="p"/>
                </m:rPr>
                <m:t>)</m:t>
              </m:r>
              <m:r>
                <m:rPr>
                  <m:sty m:val="p"/>
                </m:rPr>
                <m:t>−</m:t>
              </m:r>
              <m:r>
                <m:t>I</m:t>
              </m:r>
              <m:r>
                <m:t>V</m:t>
              </m:r>
              <m:r>
                <m:rPr>
                  <m:sty m:val="p"/>
                </m:rPr>
                <m:t>(</m:t>
              </m:r>
              <m:sSub>
                <m:e>
                  <m:r>
                    <m:t>P</m:t>
                  </m:r>
                </m:e>
                <m:sub>
                  <m:r>
                    <m:t>a</m:t>
                  </m:r>
                  <m:r>
                    <m:t>s</m:t>
                  </m:r>
                  <m:r>
                    <m:t>k</m:t>
                  </m:r>
                </m:sub>
              </m:sSub>
              <m:r>
                <m:rPr>
                  <m:sty m:val="p"/>
                </m:rPr>
                <m:t>)</m:t>
              </m:r>
              <m:r>
                <m:rPr>
                  <m:sty m:val="p"/>
                </m:rPr>
                <m:t>,</m:t>
              </m:r>
              <m:r>
                <m:t> </m:t>
              </m:r>
              <m:r>
                <m:t>I</m:t>
              </m:r>
              <m:r>
                <m:t>V</m:t>
              </m:r>
              <m:r>
                <m:rPr>
                  <m:sty m:val="p"/>
                </m:rPr>
                <m:t>(</m:t>
              </m:r>
              <m:sSub>
                <m:e>
                  <m:r>
                    <m:t>C</m:t>
                  </m:r>
                </m:e>
                <m:sub>
                  <m:r>
                    <m:t>a</m:t>
                  </m:r>
                  <m:r>
                    <m:t>s</m:t>
                  </m:r>
                  <m:r>
                    <m:t>k</m:t>
                  </m:r>
                </m:sub>
              </m:sSub>
              <m:r>
                <m:rPr>
                  <m:sty m:val="p"/>
                </m:rPr>
                <m:t>)</m:t>
              </m:r>
              <m:r>
                <m:rPr>
                  <m:sty m:val="p"/>
                </m:rPr>
                <m:t>−</m:t>
              </m:r>
              <m:r>
                <m:t>I</m:t>
              </m:r>
              <m:r>
                <m:t>V</m:t>
              </m:r>
              <m:r>
                <m:rPr>
                  <m:sty m:val="p"/>
                </m:rPr>
                <m:t>(</m:t>
              </m:r>
              <m:sSub>
                <m:e>
                  <m:r>
                    <m:t>P</m:t>
                  </m:r>
                </m:e>
                <m:sub>
                  <m:r>
                    <m:t>b</m:t>
                  </m:r>
                  <m:r>
                    <m:t>i</m:t>
                  </m:r>
                  <m:r>
                    <m:t>d</m:t>
                  </m:r>
                </m:sub>
              </m:sSub>
              <m:r>
                <m:rPr>
                  <m:sty m:val="p"/>
                </m:rPr>
                <m:t>)</m:t>
              </m:r>
            </m:e>
          </m:d>
          <m:r>
            <m:t> </m:t>
          </m:r>
          <m:r>
            <m:rPr>
              <m:nor/>
              <m:sty m:val="p"/>
            </m:rPr>
            <m:t>(6)</m:t>
          </m:r>
          <m:r>
            <m:rPr>
              <m:sty m:val="p"/>
            </m:rPr>
            <m:t>.</m:t>
          </m:r>
        </m:oMath>
      </m:oMathPara>
    </w:p>
    <w:p>
      <w:pPr>
        <w:pStyle w:val="FirstParagraph"/>
      </w:pPr>
      <w:r>
        <w:rPr>
          <w:lang w:val="en-US"/>
        </w:rPr>
        <w:t xml:space="preserve">The output is in volatility percentage points. Endpoints combine quote-side extremes; the interval is not statistical coverage, a confidence interval, probability statement, or arbitrage bound. If a quote endpoint lies at a pricing boundary and has no finite positive-IV root (as can happen with a zero bid), retain any valid endpoint as a one-sided bound, mark the pair incomplete, and do not impute a missing endpoint or discard the pair. Such observations contribute unresolved partial-order comparisons unless their one-sided bounds alone establish an order. All ten synthetic pairs use</w:t>
      </w:r>
      <w:r>
        <w:rPr>
          <w:lang w:val="en-US"/>
        </w:rPr>
        <w:t xml:space="preserve"> </w:t>
      </w:r>
      <m:oMath>
        <m:r>
          <m:t>S</m:t>
        </m:r>
        <m:r>
          <m:rPr>
            <m:sty m:val="p"/>
          </m:rPr>
          <m:t>=</m:t>
        </m:r>
        <m:r>
          <m:t>K</m:t>
        </m:r>
        <m:r>
          <m:rPr>
            <m:sty m:val="p"/>
          </m:rPr>
          <m:t>=</m:t>
        </m:r>
        <m:r>
          <m:t>100</m:t>
        </m:r>
      </m:oMath>
      <w:r>
        <w:rPr>
          <w:lang w:val="en-US"/>
        </w:rPr>
        <w:t xml:space="preserve">, 30 days to expiry, and</w:t>
      </w:r>
      <w:r>
        <w:rPr>
          <w:lang w:val="en-US"/>
        </w:rPr>
        <w:t xml:space="preserve"> </w:t>
      </w:r>
      <m:oMath>
        <m:r>
          <m:t>r</m:t>
        </m:r>
        <m:r>
          <m:rPr>
            <m:sty m:val="p"/>
          </m:rPr>
          <m:t>=</m:t>
        </m:r>
        <m:r>
          <m:t>q</m:t>
        </m:r>
        <m:r>
          <m:rPr>
            <m:sty m:val="p"/>
          </m:rPr>
          <m:t>=</m:t>
        </m:r>
        <m:r>
          <m:t>0</m:t>
        </m:r>
      </m:oMath>
      <w:r>
        <w:rPr>
          <w:lang w:val="en-US"/>
        </w:rPr>
        <w:t xml:space="preserve">; put IV is 20% and call IVs run from 16% through 25%. A symmetric premium half-spread of USD 0.01, 0.02, 0.05, 0.10, or 0.25 per underlying unit is added/subtracted before inversion. The code reports the four-endpoint-invertible fraction out of 10 pairs, sign-resolved count/fraction among those valid pairs, median interval width in points, and strict non-overlap counts divided both by eligible valid unordered pairs and all 45 possible unordered pairs. Touching endpoints count as overlap. Incomplete pairs remain in the total denominator and are not silently interpreted as ties.</w:t>
      </w:r>
    </w:p>
    <w:bookmarkEnd w:id="19"/>
    <w:bookmarkStart w:id="20" w:name="ranking-stress-experiment"/>
    <w:p>
      <w:pPr>
        <w:pStyle w:val="Heading3"/>
      </w:pPr>
      <w:r>
        <w:rPr>
          <w:lang w:val="en-US"/>
        </w:rPr>
        <w:t xml:space="preserve">6.4 Ranking stress experiment</w:t>
      </w:r>
    </w:p>
    <w:p>
      <w:pPr>
        <w:pStyle w:val="FirstParagraph"/>
      </w:pPr>
      <w:r>
        <w:rPr>
          <w:lang w:val="en-US"/>
        </w:rPr>
        <w:t xml:space="preserve">The ranking experiment crosses</w:t>
      </w:r>
      <w:r>
        <w:rPr>
          <w:lang w:val="en-US"/>
        </w:rPr>
        <w:t xml:space="preserve"> </w:t>
      </w:r>
      <m:oMath>
        <m:r>
          <m:t>n</m:t>
        </m:r>
        <m:r>
          <m:rPr>
            <m:sty m:val="p"/>
          </m:rPr>
          <m:t>∈</m:t>
        </m:r>
        <m:r>
          <m:rPr>
            <m:sty m:val="p"/>
          </m:rPr>
          <m:t>{</m:t>
        </m:r>
        <m:r>
          <m:t>10</m:t>
        </m:r>
        <m:r>
          <m:rPr>
            <m:sty m:val="p"/>
          </m:rPr>
          <m:t>,</m:t>
        </m:r>
        <m:r>
          <m:t>50</m:t>
        </m:r>
        <m:r>
          <m:rPr>
            <m:sty m:val="p"/>
          </m:rPr>
          <m:t>}</m:t>
        </m:r>
      </m:oMath>
      <w:r>
        <w:rPr>
          <w:lang w:val="en-US"/>
        </w:rPr>
        <w:t xml:space="preserve">, five signal shapes, eight synthetic noise structures, and three configured scales (0.25, 0.50, 1.00 pp). For</w:t>
      </w:r>
      <w:r>
        <w:rPr>
          <w:lang w:val="en-US"/>
        </w:rPr>
        <w:t xml:space="preserve"> </w:t>
      </w:r>
      <m:oMath>
        <m:r>
          <m:t>i</m:t>
        </m:r>
        <m:r>
          <m:rPr>
            <m:sty m:val="p"/>
          </m:rPr>
          <m:t>=</m:t>
        </m:r>
        <m:r>
          <m:t>0</m:t>
        </m:r>
        <m:r>
          <m:rPr>
            <m:sty m:val="p"/>
          </m:rPr>
          <m:t>,</m:t>
        </m:r>
        <m:r>
          <m:rPr>
            <m:sty m:val="p"/>
          </m:rPr>
          <m:t>…</m:t>
        </m:r>
        <m:r>
          <m:rPr>
            <m:sty m:val="p"/>
          </m:rPr>
          <m:t>,</m:t>
        </m:r>
        <m:r>
          <m:t>n</m:t>
        </m:r>
        <m:r>
          <m:rPr>
            <m:sty m:val="p"/>
          </m:rPr>
          <m:t>−</m:t>
        </m:r>
        <m:r>
          <m:t>1</m:t>
        </m:r>
      </m:oMath>
      <w:r>
        <w:rPr>
          <w:lang w:val="en-US"/>
        </w:rPr>
        <w:t xml:space="preserve">, let</w:t>
      </w:r>
      <w:r>
        <w:rPr>
          <w:lang w:val="en-US"/>
        </w:rPr>
        <w:t xml:space="preserve"> </w:t>
      </w:r>
      <m:oMath>
        <m:sSub>
          <m:e>
            <m:r>
              <m:t>x</m:t>
            </m:r>
          </m:e>
          <m:sub>
            <m:r>
              <m:t>i</m:t>
            </m:r>
          </m:sub>
        </m:sSub>
        <m:r>
          <m:rPr>
            <m:sty m:val="p"/>
          </m:rPr>
          <m:t>=</m:t>
        </m:r>
        <m:r>
          <m:rPr>
            <m:sty m:val="p"/>
          </m:rPr>
          <m:t>−</m:t>
        </m:r>
        <m:r>
          <m:t>1</m:t>
        </m:r>
        <m:r>
          <m:rPr>
            <m:sty m:val="p"/>
          </m:rPr>
          <m:t>+</m:t>
        </m:r>
        <m:r>
          <m:t>2</m:t>
        </m:r>
        <m:r>
          <m:t>i</m:t>
        </m:r>
        <m:r>
          <m:rPr>
            <m:sty m:val="p"/>
          </m:rPr>
          <m:t>/</m:t>
        </m:r>
        <m:r>
          <m:rPr>
            <m:sty m:val="p"/>
          </m:rPr>
          <m:t>(</m:t>
        </m:r>
        <m:r>
          <m:t>n</m:t>
        </m:r>
        <m:r>
          <m:rPr>
            <m:sty m:val="p"/>
          </m:rPr>
          <m:t>−</m:t>
        </m:r>
        <m:r>
          <m:t>1</m:t>
        </m:r>
        <m:r>
          <m:rPr>
            <m:sty m:val="p"/>
          </m:rPr>
          <m:t>)</m:t>
        </m:r>
      </m:oMath>
      <w:r>
        <w:rPr>
          <w:lang w:val="en-US"/>
        </w:rPr>
        <w:t xml:space="preserve">, in CPIV points. The shapes are: equally spaced</w:t>
      </w:r>
      <w:r>
        <w:rPr>
          <w:lang w:val="en-US"/>
        </w:rPr>
        <w:t xml:space="preserve"> </w:t>
      </w:r>
      <m:oMath>
        <m:sSub>
          <m:e>
            <m:r>
              <m:t>x</m:t>
            </m:r>
          </m:e>
          <m:sub>
            <m:r>
              <m:t>i</m:t>
            </m:r>
          </m:sub>
        </m:sSub>
      </m:oMath>
      <w:r>
        <w:rPr>
          <w:lang w:val="en-US"/>
        </w:rPr>
        <w:t xml:space="preserve">; clustered near zero</w:t>
      </w:r>
      <w:r>
        <w:rPr>
          <w:lang w:val="en-US"/>
        </w:rPr>
        <w:t xml:space="preserve"> </w:t>
      </w:r>
      <m:oMath>
        <m:sSubSup>
          <m:e>
            <m:r>
              <m:t>x</m:t>
            </m:r>
          </m:e>
          <m:sub>
            <m:r>
              <m:t>i</m:t>
            </m:r>
          </m:sub>
          <m:sup>
            <m:r>
              <m:t>3</m:t>
            </m:r>
          </m:sup>
        </m:sSubSup>
      </m:oMath>
      <w:r>
        <w:rPr>
          <w:lang w:val="en-US"/>
        </w:rPr>
        <w:t xml:space="preserve">; near-tied</w:t>
      </w:r>
      <w:r>
        <w:rPr>
          <w:lang w:val="en-US"/>
        </w:rPr>
        <w:t xml:space="preserve"> </w:t>
      </w:r>
      <m:oMath>
        <m:r>
          <m:t>0.03</m:t>
        </m:r>
        <m:sSub>
          <m:e>
            <m:r>
              <m:t>x</m:t>
            </m:r>
          </m:e>
          <m:sub>
            <m:r>
              <m:t>i</m:t>
            </m:r>
          </m:sub>
        </m:sSub>
      </m:oMath>
      <w:r>
        <w:rPr>
          <w:lang w:val="en-US"/>
        </w:rPr>
        <w:t xml:space="preserve">; two clusters</w:t>
      </w:r>
      <w:r>
        <w:rPr>
          <w:lang w:val="en-US"/>
        </w:rPr>
        <w:t xml:space="preserve"> </w:t>
      </w:r>
      <m:oMath>
        <m:r>
          <m:rPr>
            <m:sty m:val="p"/>
          </m:rPr>
          <m:t>−</m:t>
        </m:r>
        <m:r>
          <m:t>1</m:t>
        </m:r>
        <m:r>
          <m:rPr>
            <m:sty m:val="p"/>
          </m:rPr>
          <m:t>+</m:t>
        </m:r>
        <m:r>
          <m:t>0.02</m:t>
        </m:r>
        <m:r>
          <m:t>i</m:t>
        </m:r>
        <m:r>
          <m:rPr>
            <m:sty m:val="p"/>
          </m:rPr>
          <m:t>/</m:t>
        </m:r>
        <m:r>
          <m:t>n</m:t>
        </m:r>
      </m:oMath>
      <w:r>
        <w:rPr>
          <w:lang w:val="en-US"/>
        </w:rPr>
        <w:t xml:space="preserve"> </w:t>
      </w:r>
      <w:r>
        <w:rPr>
          <w:lang w:val="en-US"/>
        </w:rPr>
        <w:t xml:space="preserve">for</w:t>
      </w:r>
      <w:r>
        <w:rPr>
          <w:lang w:val="en-US"/>
        </w:rPr>
        <w:t xml:space="preserve"> </w:t>
      </w:r>
      <m:oMath>
        <m:r>
          <m:t>i</m:t>
        </m:r>
        <m:r>
          <m:rPr>
            <m:sty m:val="p"/>
          </m:rPr>
          <m:t>&lt;</m:t>
        </m:r>
        <m:r>
          <m:t>n</m:t>
        </m:r>
        <m:r>
          <m:rPr>
            <m:sty m:val="p"/>
          </m:rPr>
          <m:t>/</m:t>
        </m:r>
        <m:r>
          <m:t>2</m:t>
        </m:r>
      </m:oMath>
      <w:r>
        <w:rPr>
          <w:lang w:val="en-US"/>
        </w:rPr>
        <w:t xml:space="preserve"> </w:t>
      </w:r>
      <w:r>
        <w:rPr>
          <w:lang w:val="en-US"/>
        </w:rPr>
        <w:t xml:space="preserve">and</w:t>
      </w:r>
      <w:r>
        <w:rPr>
          <w:lang w:val="en-US"/>
        </w:rPr>
        <w:t xml:space="preserve"> </w:t>
      </w:r>
      <m:oMath>
        <m:r>
          <m:t>1</m:t>
        </m:r>
        <m:r>
          <m:rPr>
            <m:sty m:val="p"/>
          </m:rPr>
          <m:t>+</m:t>
        </m:r>
        <m:r>
          <m:t>0.02</m:t>
        </m:r>
        <m:r>
          <m:t>i</m:t>
        </m:r>
        <m:r>
          <m:rPr>
            <m:sty m:val="p"/>
          </m:rPr>
          <m:t>/</m:t>
        </m:r>
        <m:r>
          <m:t>n</m:t>
        </m:r>
      </m:oMath>
      <w:r>
        <w:rPr>
          <w:lang w:val="en-US"/>
        </w:rPr>
        <w:t xml:space="preserve"> </w:t>
      </w:r>
      <w:r>
        <w:rPr>
          <w:lang w:val="en-US"/>
        </w:rPr>
        <w:t xml:space="preserve">otherwise; and the concave-magnitude transform</w:t>
      </w:r>
      <w:r>
        <w:rPr>
          <w:lang w:val="en-US"/>
        </w:rPr>
        <w:t xml:space="preserve"> </w:t>
      </w:r>
      <m:oMath>
        <m:r>
          <m:t>g</m:t>
        </m:r>
        <m:r>
          <m:rPr>
            <m:sty m:val="p"/>
          </m:rPr>
          <m:t>(</m:t>
        </m:r>
        <m:sSub>
          <m:e>
            <m:r>
              <m:t>x</m:t>
            </m:r>
          </m:e>
          <m:sub>
            <m:r>
              <m:t>i</m:t>
            </m:r>
          </m:sub>
        </m:sSub>
        <m:r>
          <m:rPr>
            <m:sty m:val="p"/>
          </m:rPr>
          <m:t>)</m:t>
        </m:r>
        <m:r>
          <m:rPr>
            <m:sty m:val="p"/>
          </m:rPr>
          <m:t>=</m:t>
        </m:r>
        <m:r>
          <m:rPr>
            <m:sty m:val="p"/>
          </m:rPr>
          <m:t>sign</m:t>
        </m:r>
        <m:r>
          <m:rPr>
            <m:sty m:val="p"/>
          </m:rPr>
          <m:t>(</m:t>
        </m:r>
        <m:sSub>
          <m:e>
            <m:r>
              <m:t>x</m:t>
            </m:r>
          </m:e>
          <m:sub>
            <m:r>
              <m:t>i</m:t>
            </m:r>
          </m:sub>
        </m:sSub>
        <m:r>
          <m:rPr>
            <m:sty m:val="p"/>
          </m:rPr>
          <m:t>)</m:t>
        </m:r>
        <m:rad>
          <m:radPr>
            <m:degHide m:val="on"/>
          </m:radPr>
          <m:deg/>
          <m:e>
            <m:r>
              <m:rPr>
                <m:sty m:val="p"/>
              </m:rPr>
              <m:t>|</m:t>
            </m:r>
            <m:sSub>
              <m:e>
                <m:r>
                  <m:t>x</m:t>
                </m:r>
              </m:e>
              <m:sub>
                <m:r>
                  <m:t>i</m:t>
                </m:r>
              </m:sub>
            </m:sSub>
            <m:r>
              <m:rPr>
                <m:sty m:val="p"/>
              </m:rPr>
              <m:t>|</m:t>
            </m:r>
          </m:e>
        </m:rad>
      </m:oMath>
      <w:r>
        <w:rPr>
          <w:lang w:val="en-US"/>
        </w:rPr>
        <w:t xml:space="preserve">. This deterministic transform remains supported on</w:t>
      </w:r>
      <w:r>
        <w:rPr>
          <w:lang w:val="en-US"/>
        </w:rPr>
        <w:t xml:space="preserve"> </w:t>
      </w:r>
      <m:oMath>
        <m:r>
          <m:rPr>
            <m:sty m:val="p"/>
          </m:rPr>
          <m:t>[</m:t>
        </m:r>
        <m:r>
          <m:rPr>
            <m:sty m:val="p"/>
          </m:rPr>
          <m:t>−</m:t>
        </m:r>
        <m:r>
          <m:t>1</m:t>
        </m:r>
        <m:r>
          <m:rPr>
            <m:sty m:val="p"/>
          </m:rPr>
          <m:t>,</m:t>
        </m:r>
        <m:r>
          <m:t>1</m:t>
        </m:r>
        <m:r>
          <m:rPr>
            <m:sty m:val="p"/>
          </m:rPr>
          <m:t>]</m:t>
        </m:r>
      </m:oMath>
      <w:r>
        <w:rPr>
          <w:lang w:val="en-US"/>
        </w:rPr>
        <w:t xml:space="preserve">; it is not a heavy-tailed distribution.</w:t>
      </w:r>
    </w:p>
    <w:p>
      <w:pPr>
        <w:pStyle w:val="BodyText"/>
      </w:pPr>
      <w:r>
        <w:rPr>
          <w:lang w:val="en-US"/>
        </w:rPr>
        <w:t xml:space="preserve">Noise is added directly in CPIV space, not option-price space. The families are: (1) uniform</w:t>
      </w:r>
      <w:r>
        <w:rPr>
          <w:lang w:val="en-US"/>
        </w:rPr>
        <w:t xml:space="preserve"> </w:t>
      </w:r>
      <m:oMath>
        <m:r>
          <m:t>U</m:t>
        </m:r>
        <m:r>
          <m:rPr>
            <m:sty m:val="p"/>
          </m:rPr>
          <m:t>(</m:t>
        </m:r>
        <m:r>
          <m:rPr>
            <m:sty m:val="p"/>
          </m:rPr>
          <m:t>−</m:t>
        </m:r>
        <m:rad>
          <m:radPr>
            <m:degHide m:val="on"/>
          </m:radPr>
          <m:deg/>
          <m:e>
            <m:r>
              <m:t>3</m:t>
            </m:r>
          </m:e>
        </m:rad>
        <m:r>
          <m:t>s</m:t>
        </m:r>
        <m:r>
          <m:rPr>
            <m:sty m:val="p"/>
          </m:rPr>
          <m:t>,</m:t>
        </m:r>
        <m:rad>
          <m:radPr>
            <m:degHide m:val="on"/>
          </m:radPr>
          <m:deg/>
          <m:e>
            <m:r>
              <m:t>3</m:t>
            </m:r>
          </m:e>
        </m:rad>
        <m:r>
          <m:t>s</m:t>
        </m:r>
        <m:r>
          <m:rPr>
            <m:sty m:val="p"/>
          </m:rPr>
          <m:t>)</m:t>
        </m:r>
      </m:oMath>
      <w:r>
        <w:rPr>
          <w:lang w:val="en-US"/>
        </w:rPr>
        <w:t xml:space="preserve">; (2) Gaussian</w:t>
      </w:r>
      <w:r>
        <w:rPr>
          <w:lang w:val="en-US"/>
        </w:rPr>
        <w:t xml:space="preserve"> </w:t>
      </w:r>
      <m:oMath>
        <m:r>
          <m:t>N</m:t>
        </m:r>
        <m:r>
          <m:rPr>
            <m:sty m:val="p"/>
          </m:rPr>
          <m:t>(</m:t>
        </m:r>
        <m:r>
          <m:t>0</m:t>
        </m:r>
        <m:r>
          <m:rPr>
            <m:sty m:val="p"/>
          </m:rPr>
          <m:t>,</m:t>
        </m:r>
        <m:sSup>
          <m:e>
            <m:r>
              <m:t>s</m:t>
            </m:r>
          </m:e>
          <m:sup>
            <m:r>
              <m:t>2</m:t>
            </m:r>
          </m:sup>
        </m:sSup>
        <m:r>
          <m:rPr>
            <m:sty m:val="p"/>
          </m:rPr>
          <m:t>)</m:t>
        </m:r>
      </m:oMath>
      <w:r>
        <w:rPr>
          <w:lang w:val="en-US"/>
        </w:rPr>
        <w:t xml:space="preserve">; (3) a 5% contaminated Gaussian whose contaminant SD is five times the base SD and whose theoretical mixture variance is normalized to</w:t>
      </w:r>
      <w:r>
        <w:rPr>
          <w:lang w:val="en-US"/>
        </w:rPr>
        <w:t xml:space="preserve"> </w:t>
      </w:r>
      <m:oMath>
        <m:sSup>
          <m:e>
            <m:r>
              <m:t>s</m:t>
            </m:r>
          </m:e>
          <m:sup>
            <m:r>
              <m:t>2</m:t>
            </m:r>
          </m:sup>
        </m:sSup>
      </m:oMath>
      <w:r>
        <w:rPr>
          <w:lang w:val="en-US"/>
        </w:rPr>
        <w:t xml:space="preserve">; (4–6) Gaussian heteroskedastic noise with factors</w:t>
      </w:r>
      <w:r>
        <w:rPr>
          <w:lang w:val="en-US"/>
        </w:rPr>
        <w:t xml:space="preserve"> </w:t>
      </w:r>
      <m:oMath>
        <m:sSub>
          <m:e>
            <m:r>
              <m:t>f</m:t>
            </m:r>
          </m:e>
          <m:sub>
            <m:r>
              <m:t>i</m:t>
            </m:r>
          </m:sub>
        </m:sSub>
        <m:r>
          <m:rPr>
            <m:sty m:val="p"/>
          </m:rPr>
          <m:t>=</m:t>
        </m:r>
        <m:r>
          <m:t>0.5</m:t>
        </m:r>
        <m:r>
          <m:rPr>
            <m:sty m:val="p"/>
          </m:rPr>
          <m:t>+</m:t>
        </m:r>
        <m:r>
          <m:t>i</m:t>
        </m:r>
        <m:r>
          <m:rPr>
            <m:sty m:val="p"/>
          </m:rPr>
          <m:t>/</m:t>
        </m:r>
        <m:r>
          <m:rPr>
            <m:sty m:val="p"/>
          </m:rPr>
          <m:t>(</m:t>
        </m:r>
        <m:r>
          <m:t>n</m:t>
        </m:r>
        <m:r>
          <m:rPr>
            <m:sty m:val="p"/>
          </m:rPr>
          <m:t>−</m:t>
        </m:r>
        <m:r>
          <m:t>1</m:t>
        </m:r>
        <m:r>
          <m:rPr>
            <m:sty m:val="p"/>
          </m:rPr>
          <m:t>)</m:t>
        </m:r>
      </m:oMath>
      <w:r>
        <w:rPr>
          <w:lang w:val="en-US"/>
        </w:rPr>
        <w:t xml:space="preserve">, normalized by</w:t>
      </w:r>
      <w:r>
        <w:rPr>
          <w:lang w:val="en-US"/>
        </w:rPr>
        <w:t xml:space="preserve"> </w:t>
      </w:r>
      <m:oMath>
        <m:rad>
          <m:radPr>
            <m:degHide m:val="on"/>
          </m:radPr>
          <m:deg/>
          <m:e>
            <m:sSup>
              <m:e>
                <m:r>
                  <m:t>n</m:t>
                </m:r>
              </m:e>
              <m:sup>
                <m:r>
                  <m:rPr>
                    <m:sty m:val="p"/>
                  </m:rPr>
                  <m:t>−</m:t>
                </m:r>
                <m:r>
                  <m:t>1</m:t>
                </m:r>
              </m:sup>
            </m:sSup>
            <m:nary>
              <m:naryPr>
                <m:chr m:val="∑"/>
                <m:limLoc m:val="undOvr"/>
                <m:subHide m:val="off"/>
                <m:supHide m:val="on"/>
              </m:naryPr>
              <m:sub>
                <m:r>
                  <m:t>i</m:t>
                </m:r>
              </m:sub>
              <m:sup>
                <m:r>
                  <m:t>​</m:t>
                </m:r>
              </m:sup>
              <m:e>
                <m:sSubSup>
                  <m:e>
                    <m:r>
                      <m:t>f</m:t>
                    </m:r>
                  </m:e>
                  <m:sub>
                    <m:r>
                      <m:t>i</m:t>
                    </m:r>
                  </m:sub>
                  <m:sup>
                    <m:r>
                      <m:t>2</m:t>
                    </m:r>
                  </m:sup>
                </m:sSubSup>
              </m:e>
            </m:nary>
          </m:e>
        </m:rad>
      </m:oMath>
      <w:r>
        <w:rPr>
          <w:lang w:val="en-US"/>
        </w:rPr>
        <w:t xml:space="preserve">, respectively increasing, decreasing, or randomly permuted across names in each replicate; (7) Gaussian call/put leg errors each with marginal SD</w:t>
      </w:r>
      <w:r>
        <w:rPr>
          <w:lang w:val="en-US"/>
        </w:rPr>
        <w:t xml:space="preserve"> </w:t>
      </w:r>
      <m:oMath>
        <m:r>
          <m:t>s</m:t>
        </m:r>
      </m:oMath>
      <w:r>
        <w:rPr>
          <w:lang w:val="en-US"/>
        </w:rPr>
        <w:t xml:space="preserve"> </w:t>
      </w:r>
      <w:r>
        <w:rPr>
          <w:lang w:val="en-US"/>
        </w:rPr>
        <w:t xml:space="preserve">and correlation 0.8, with CPIV noise defined as call error minus put error, giving theoretical paired SD</w:t>
      </w:r>
      <w:r>
        <w:rPr>
          <w:lang w:val="en-US"/>
        </w:rPr>
        <w:t xml:space="preserve"> </w:t>
      </w:r>
      <m:oMath>
        <m:r>
          <m:t>s</m:t>
        </m:r>
        <m:rad>
          <m:radPr>
            <m:degHide m:val="on"/>
          </m:radPr>
          <m:deg/>
          <m:e>
            <m:r>
              <m:t>2</m:t>
            </m:r>
            <m:r>
              <m:rPr>
                <m:sty m:val="p"/>
              </m:rPr>
              <m:t>(</m:t>
            </m:r>
            <m:r>
              <m:t>1</m:t>
            </m:r>
            <m:r>
              <m:rPr>
                <m:sty m:val="p"/>
              </m:rPr>
              <m:t>−</m:t>
            </m:r>
            <m:r>
              <m:t>0.8</m:t>
            </m:r>
            <m:r>
              <m:rPr>
                <m:sty m:val="p"/>
              </m:rPr>
              <m:t>)</m:t>
            </m:r>
          </m:e>
        </m:rad>
        <m:r>
          <m:rPr>
            <m:sty m:val="p"/>
          </m:rPr>
          <m:t>=</m:t>
        </m:r>
        <m:r>
          <m:t>s</m:t>
        </m:r>
        <m:rad>
          <m:radPr>
            <m:degHide m:val="on"/>
          </m:radPr>
          <m:deg/>
          <m:e>
            <m:r>
              <m:t>0.4</m:t>
            </m:r>
          </m:e>
        </m:rad>
      </m:oMath>
      <w:r>
        <w:rPr>
          <w:lang w:val="en-US"/>
        </w:rPr>
        <w:t xml:space="preserve">; and (8) one Gaussian additive CPIV shock shared identically by every name, included as a ranking-invariance control rather than a market-error model. Therefore the same configured scale does not imply the same paired CPIV SD in family 7. Three fixed seeds (20261009, 20261010, 20261011) contribute 100 replicates each. The total is</w:t>
      </w:r>
      <w:r>
        <w:rPr>
          <w:lang w:val="en-US"/>
        </w:rPr>
        <w:t xml:space="preserve"> </w:t>
      </w:r>
      <m:oMath>
        <m:r>
          <m:t>2</m:t>
        </m:r>
        <m:r>
          <m:rPr>
            <m:sty m:val="p"/>
          </m:rPr>
          <m:t>×</m:t>
        </m:r>
        <m:r>
          <m:t>5</m:t>
        </m:r>
        <m:r>
          <m:rPr>
            <m:sty m:val="p"/>
          </m:rPr>
          <m:t>×</m:t>
        </m:r>
        <m:r>
          <m:t>8</m:t>
        </m:r>
        <m:r>
          <m:rPr>
            <m:sty m:val="p"/>
          </m:rPr>
          <m:t>×</m:t>
        </m:r>
        <m:r>
          <m:t>3</m:t>
        </m:r>
        <m:r>
          <m:rPr>
            <m:sty m:val="p"/>
          </m:rPr>
          <m:t>×</m:t>
        </m:r>
        <m:r>
          <m:t>300</m:t>
        </m:r>
        <m:r>
          <m:rPr>
            <m:sty m:val="p"/>
          </m:rPr>
          <m:t>=</m:t>
        </m:r>
        <m:r>
          <m:t>72</m:t>
        </m:r>
        <m:r>
          <m:rPr>
            <m:sty m:val="p"/>
          </m:rPr>
          <m:t>,</m:t>
        </m:r>
        <m:r>
          <m:t>000</m:t>
        </m:r>
      </m:oMath>
      <w:r>
        <w:rPr>
          <w:lang w:val="en-US"/>
        </w:rPr>
        <w:t xml:space="preserve"> </w:t>
      </w:r>
      <w:r>
        <w:rPr>
          <w:lang w:val="en-US"/>
        </w:rPr>
        <w:t xml:space="preserve">synthetic rankings. Within each universe–signal-shape–noise-family design and seed, the same underlying random draws are reused across scale values; results are compared as paired replicate differences.</w:t>
      </w:r>
    </w:p>
    <w:p>
      <w:pPr>
        <w:pStyle w:val="BodyText"/>
      </w:pPr>
      <w:r>
        <w:rPr>
          <w:lang w:val="en-US"/>
        </w:rPr>
        <w:t xml:space="preserve">For a replicate, the inversion fraction is the number of discordant unordered pairs divided by</w:t>
      </w:r>
      <w:r>
        <w:rPr>
          <w:lang w:val="en-US"/>
        </w:rPr>
        <w:t xml:space="preserve"> </w:t>
      </w:r>
      <m:oMath>
        <m:r>
          <m:t>n</m:t>
        </m:r>
        <m:r>
          <m:rPr>
            <m:sty m:val="p"/>
          </m:rPr>
          <m:t>(</m:t>
        </m:r>
        <m:r>
          <m:t>n</m:t>
        </m:r>
        <m:r>
          <m:rPr>
            <m:sty m:val="p"/>
          </m:rPr>
          <m:t>−</m:t>
        </m:r>
        <m:r>
          <m:t>1</m:t>
        </m:r>
        <m:r>
          <m:rPr>
            <m:sty m:val="p"/>
          </m:rPr>
          <m:t>)</m:t>
        </m:r>
        <m:r>
          <m:rPr>
            <m:sty m:val="p"/>
          </m:rPr>
          <m:t>/</m:t>
        </m:r>
        <m:r>
          <m:t>2</m:t>
        </m:r>
      </m:oMath>
      <w:r>
        <w:rPr>
          <w:lang w:val="en-US"/>
        </w:rPr>
        <w:t xml:space="preserve">, with index order breaking exact ties. Spearman’s</w:t>
      </w:r>
      <w:r>
        <w:rPr>
          <w:lang w:val="en-US"/>
        </w:rPr>
        <w:t xml:space="preserve"> </w:t>
      </w:r>
      <m:oMath>
        <m:r>
          <m:t>ρ</m:t>
        </m:r>
        <m:r>
          <m:rPr>
            <m:sty m:val="p"/>
          </m:rPr>
          <m:t>=</m:t>
        </m:r>
        <m:r>
          <m:t>1</m:t>
        </m:r>
        <m:r>
          <m:rPr>
            <m:sty m:val="p"/>
          </m:rPr>
          <m:t>−</m:t>
        </m:r>
        <m:r>
          <m:t>6</m:t>
        </m:r>
        <m:nary>
          <m:naryPr>
            <m:chr m:val="∑"/>
            <m:limLoc m:val="undOvr"/>
            <m:subHide m:val="off"/>
            <m:supHide m:val="on"/>
          </m:naryPr>
          <m:sub>
            <m:r>
              <m:t>i</m:t>
            </m:r>
          </m:sub>
          <m:sup>
            <m:r>
              <m:t>​</m:t>
            </m:r>
          </m:sup>
          <m:e>
            <m:sSubSup>
              <m:e>
                <m:r>
                  <m:t>d</m:t>
                </m:r>
              </m:e>
              <m:sub>
                <m:r>
                  <m:t>i</m:t>
                </m:r>
              </m:sub>
              <m:sup>
                <m:r>
                  <m:t>2</m:t>
                </m:r>
              </m:sup>
            </m:sSubSup>
          </m:e>
        </m:nary>
        <m:r>
          <m:rPr>
            <m:sty m:val="p"/>
          </m:rPr>
          <m:t>/</m:t>
        </m:r>
        <m:r>
          <m:rPr>
            <m:sty m:val="p"/>
          </m:rPr>
          <m:t>[</m:t>
        </m:r>
        <m:r>
          <m:t>n</m:t>
        </m:r>
        <m:r>
          <m:rPr>
            <m:sty m:val="p"/>
          </m:rPr>
          <m:t>(</m:t>
        </m:r>
        <m:sSup>
          <m:e>
            <m:r>
              <m:t>n</m:t>
            </m:r>
          </m:e>
          <m:sup>
            <m:r>
              <m:t>2</m:t>
            </m:r>
          </m:sup>
        </m:sSup>
        <m:r>
          <m:rPr>
            <m:sty m:val="p"/>
          </m:rPr>
          <m:t>−</m:t>
        </m:r>
        <m:r>
          <m:t>1</m:t>
        </m:r>
        <m:r>
          <m:rPr>
            <m:sty m:val="p"/>
          </m:rPr>
          <m:t>)</m:t>
        </m:r>
        <m:r>
          <m:rPr>
            <m:sty m:val="p"/>
          </m:rPr>
          <m:t>]</m:t>
        </m:r>
      </m:oMath>
      <w:r>
        <w:rPr>
          <w:lang w:val="en-US"/>
        </w:rPr>
        <w:t xml:space="preserve"> </w:t>
      </w:r>
      <w:r>
        <w:rPr>
          <w:lang w:val="en-US"/>
        </w:rPr>
        <w:t xml:space="preserve">uses the resulting tie-broken ranks. Let</w:t>
      </w:r>
      <w:r>
        <w:rPr>
          <w:lang w:val="en-US"/>
        </w:rPr>
        <w:t xml:space="preserve"> </w:t>
      </w:r>
      <m:oMath>
        <m:r>
          <m:t>k</m:t>
        </m:r>
        <m:r>
          <m:rPr>
            <m:sty m:val="p"/>
          </m:rPr>
          <m:t>=</m:t>
        </m:r>
        <m:r>
          <m:rPr>
            <m:sty m:val="p"/>
          </m:rPr>
          <m:t>⌊</m:t>
        </m:r>
        <m:r>
          <m:t>n</m:t>
        </m:r>
        <m:r>
          <m:rPr>
            <m:sty m:val="p"/>
          </m:rPr>
          <m:t>/</m:t>
        </m:r>
        <m:r>
          <m:t>5</m:t>
        </m:r>
        <m:r>
          <m:rPr>
            <m:sty m:val="p"/>
          </m:rPr>
          <m:t>⌋</m:t>
        </m:r>
      </m:oMath>
      <w:r>
        <w:rPr>
          <w:lang w:val="en-US"/>
        </w:rPr>
        <w:t xml:space="preserve">; top/bottom turnover is</w:t>
      </w:r>
      <w:r>
        <w:rPr>
          <w:lang w:val="en-US"/>
        </w:rPr>
        <w:t xml:space="preserve"> </w:t>
      </w:r>
      <m:oMath>
        <m:r>
          <m:t>1</m:t>
        </m:r>
        <m:r>
          <m:rPr>
            <m:sty m:val="p"/>
          </m:rPr>
          <m:t>−</m:t>
        </m:r>
        <m:r>
          <m:rPr>
            <m:sty m:val="p"/>
          </m:rPr>
          <m:t>(</m:t>
        </m:r>
        <m:r>
          <m:rPr>
            <m:sty m:val="p"/>
          </m:rPr>
          <m:t>|</m:t>
        </m:r>
        <m:r>
          <m:t>L</m:t>
        </m:r>
        <m:r>
          <m:rPr>
            <m:sty m:val="p"/>
          </m:rPr>
          <m:t>∩</m:t>
        </m:r>
        <m:sSup>
          <m:e>
            <m:r>
              <m:t>L</m:t>
            </m:r>
          </m:e>
          <m:sup>
            <m:r>
              <m:rPr>
                <m:sty m:val="p"/>
              </m:rPr>
              <m:t>′</m:t>
            </m:r>
          </m:sup>
        </m:sSup>
        <m:r>
          <m:rPr>
            <m:sty m:val="p"/>
          </m:rPr>
          <m:t>|</m:t>
        </m:r>
        <m:r>
          <m:rPr>
            <m:sty m:val="p"/>
          </m:rPr>
          <m:t>+</m:t>
        </m:r>
        <m:r>
          <m:rPr>
            <m:sty m:val="p"/>
          </m:rPr>
          <m:t>|</m:t>
        </m:r>
        <m:r>
          <m:t>B</m:t>
        </m:r>
        <m:r>
          <m:rPr>
            <m:sty m:val="p"/>
          </m:rPr>
          <m:t>∩</m:t>
        </m:r>
        <m:sSup>
          <m:e>
            <m:r>
              <m:t>B</m:t>
            </m:r>
          </m:e>
          <m:sup>
            <m:r>
              <m:rPr>
                <m:sty m:val="p"/>
              </m:rPr>
              <m:t>′</m:t>
            </m:r>
          </m:sup>
        </m:sSup>
        <m:r>
          <m:rPr>
            <m:sty m:val="p"/>
          </m:rPr>
          <m:t>|</m:t>
        </m:r>
        <m:r>
          <m:rPr>
            <m:sty m:val="p"/>
          </m:rPr>
          <m:t>)</m:t>
        </m:r>
        <m:r>
          <m:rPr>
            <m:sty m:val="p"/>
          </m:rPr>
          <m:t>/</m:t>
        </m:r>
        <m:r>
          <m:rPr>
            <m:sty m:val="p"/>
          </m:rPr>
          <m:t>(</m:t>
        </m:r>
        <m:r>
          <m:t>2</m:t>
        </m:r>
        <m:r>
          <m:t>k</m:t>
        </m:r>
        <m:r>
          <m:rPr>
            <m:sty m:val="p"/>
          </m:rPr>
          <m:t>)</m:t>
        </m:r>
      </m:oMath>
      <w:r>
        <w:rPr>
          <w:lang w:val="en-US"/>
        </w:rPr>
        <w:t xml:space="preserve">, the mean of long- and bottom-set missing-member fractions. Sign accuracy is</w:t>
      </w:r>
      <w:r>
        <w:rPr>
          <w:lang w:val="en-US"/>
        </w:rPr>
        <w:t xml:space="preserve"> </w:t>
      </w:r>
      <m:oMath>
        <m:sSup>
          <m:e>
            <m:r>
              <m:t>n</m:t>
            </m:r>
          </m:e>
          <m:sup>
            <m:r>
              <m:rPr>
                <m:sty m:val="p"/>
              </m:rPr>
              <m:t>−</m:t>
            </m:r>
            <m:r>
              <m:t>1</m:t>
            </m:r>
          </m:sup>
        </m:sSup>
        <m:nary>
          <m:naryPr>
            <m:chr m:val="∑"/>
            <m:limLoc m:val="undOvr"/>
            <m:subHide m:val="off"/>
            <m:supHide m:val="on"/>
          </m:naryPr>
          <m:sub>
            <m:r>
              <m:t>i</m:t>
            </m:r>
          </m:sub>
          <m:sup>
            <m:r>
              <m:t>​</m:t>
            </m:r>
          </m:sup>
          <m:e>
            <m:r>
              <m:rPr>
                <m:sty m:val="b"/>
              </m:rPr>
              <m:t>1</m:t>
            </m:r>
          </m:e>
        </m:nary>
        <m:r>
          <m:rPr>
            <m:sty m:val="p"/>
          </m:rPr>
          <m:t>[</m:t>
        </m:r>
        <m:r>
          <m:rPr>
            <m:sty m:val="p"/>
          </m:rPr>
          <m:t>(</m:t>
        </m:r>
        <m:sSub>
          <m:e>
            <m:r>
              <m:t>x</m:t>
            </m:r>
          </m:e>
          <m:sub>
            <m:r>
              <m:t>i</m:t>
            </m:r>
          </m:sub>
        </m:sSub>
        <m:r>
          <m:rPr>
            <m:sty m:val="p"/>
          </m:rPr>
          <m:t>&gt;</m:t>
        </m:r>
        <m:r>
          <m:t>0</m:t>
        </m:r>
        <m:r>
          <m:rPr>
            <m:sty m:val="p"/>
          </m:rPr>
          <m:t>)</m:t>
        </m:r>
        <m:r>
          <m:rPr>
            <m:sty m:val="p"/>
          </m:rPr>
          <m:t>=</m:t>
        </m:r>
        <m:r>
          <m:rPr>
            <m:sty m:val="p"/>
          </m:rPr>
          <m:t>(</m:t>
        </m:r>
        <m:sSub>
          <m:e>
            <m:r>
              <m:t>y</m:t>
            </m:r>
          </m:e>
          <m:sub>
            <m:r>
              <m:t>i</m:t>
            </m:r>
          </m:sub>
        </m:sSub>
        <m:r>
          <m:rPr>
            <m:sty m:val="p"/>
          </m:rPr>
          <m:t>&gt;</m:t>
        </m:r>
        <m:r>
          <m:t>0</m:t>
        </m:r>
        <m:r>
          <m:rPr>
            <m:sty m:val="p"/>
          </m:rPr>
          <m:t>)</m:t>
        </m:r>
        <m:r>
          <m:rPr>
            <m:sty m:val="p"/>
          </m:rPr>
          <m:t>]</m:t>
        </m:r>
      </m:oMath>
      <w:r>
        <w:rPr>
          <w:lang w:val="en-US"/>
        </w:rPr>
        <w:t xml:space="preserve">; exact zero is treated as nonpositive. The code also records exact full-order preservation and any extreme-quintile membership change.</w:t>
      </w:r>
    </w:p>
    <w:p>
      <w:pPr>
        <w:pStyle w:val="BodyText"/>
      </w:pPr>
      <w:r>
        <w:rPr>
          <w:lang w:val="en-US"/>
        </w:rPr>
        <w:t xml:space="preserve">Continuous metric means and their normal Monte Carlo intervals use each replicate as the observation; names and within-replicate pairs are not treated as independent observations. Adjacent noise-scale contrasts use paired replicate differences, with paired MCSE/intervals. Wilson intervals are reported for simulated event rates only. These intervals quantify finite simulation variation conditional on the chosen generator and seeds; they are not market confidence intervals. Per-name inclusion probabilities are supplied for the ten-name universe. None of the vectors or noise distributions is asserted to be market-realistic or calibrated.</w:t>
      </w:r>
    </w:p>
    <w:bookmarkEnd w:id="20"/>
    <w:bookmarkStart w:id="21" w:name="X2d2a4a3d5da49451c2c6a78a4c2919a039e66c6"/>
    <w:p>
      <w:pPr>
        <w:pStyle w:val="Heading3"/>
      </w:pPr>
      <w:r>
        <w:rPr>
          <w:lang w:val="en-US"/>
        </w:rPr>
        <w:t xml:space="preserve">6.5 Price identification and tolerance by source</w:t>
      </w:r>
    </w:p>
    <w:p>
      <w:pPr>
        <w:pStyle w:val="FirstParagraph"/>
      </w:pPr>
      <w:r>
        <w:rPr>
          <w:lang w:val="en-US"/>
        </w:rPr>
        <w:t xml:space="preserve">Price discretization, quote width, and floating-point scale are distinct inputs and are not combined into one</w:t>
      </w:r>
      <w:r>
        <w:rPr>
          <w:lang w:val="en-US"/>
        </w:rPr>
        <w:t xml:space="preserve"> </w:t>
      </w:r>
      <m:oMath>
        <m:r>
          <m:t>δ</m:t>
        </m:r>
        <m:r>
          <m:t>P</m:t>
        </m:r>
      </m:oMath>
      <w:r>
        <w:rPr>
          <w:lang w:val="en-US"/>
        </w:rPr>
        <w:t xml:space="preserve"> </w:t>
      </w:r>
      <w:r>
        <w:rPr>
          <w:lang w:val="en-US"/>
        </w:rPr>
        <w:t xml:space="preserve">or treated as a standard deviation. For one option leg, let</w:t>
      </w:r>
      <w:r>
        <w:rPr>
          <w:lang w:val="en-US"/>
        </w:rPr>
        <w:t xml:space="preserve"> </w:t>
      </w:r>
      <m:oMath>
        <m:r>
          <m:t>P</m:t>
        </m:r>
      </m:oMath>
      <w:r>
        <w:rPr>
          <w:lang w:val="en-US"/>
        </w:rPr>
        <w:t xml:space="preserve"> </w:t>
      </w:r>
      <w:r>
        <w:rPr>
          <w:lang w:val="en-US"/>
        </w:rPr>
        <w:t xml:space="preserve">be its synthetic premium,</w:t>
      </w:r>
      <w:r>
        <w:rPr>
          <w:lang w:val="en-US"/>
        </w:rPr>
        <w:t xml:space="preserve"> </w:t>
      </w:r>
      <m:oMath>
        <m:sSub>
          <m:e>
            <m:r>
              <m:t>ν</m:t>
            </m:r>
          </m:e>
          <m:sub>
            <m:r>
              <m:t>d</m:t>
            </m:r>
            <m:r>
              <m:t>e</m:t>
            </m:r>
            <m:r>
              <m:t>c</m:t>
            </m:r>
          </m:sub>
        </m:sSub>
      </m:oMath>
      <w:r>
        <w:rPr>
          <w:lang w:val="en-US"/>
        </w:rPr>
        <w:t xml:space="preserve"> </w:t>
      </w:r>
      <w:r>
        <w:rPr>
          <w:lang w:val="en-US"/>
        </w:rPr>
        <w:t xml:space="preserve">its BSM vega per decimal IV, and</w:t>
      </w:r>
      <w:r>
        <w:rPr>
          <w:lang w:val="en-US"/>
        </w:rPr>
        <w:t xml:space="preserve"> </w:t>
      </w:r>
      <m:oMath>
        <m:sSub>
          <m:e>
            <m:r>
              <m:t>ν</m:t>
            </m:r>
          </m:e>
          <m:sub>
            <m:r>
              <m:t>p</m:t>
            </m:r>
            <m:r>
              <m:t>p</m:t>
            </m:r>
          </m:sub>
        </m:sSub>
        <m:r>
          <m:rPr>
            <m:sty m:val="p"/>
          </m:rPr>
          <m:t>=</m:t>
        </m:r>
        <m:sSub>
          <m:e>
            <m:r>
              <m:t>ν</m:t>
            </m:r>
          </m:e>
          <m:sub>
            <m:r>
              <m:t>d</m:t>
            </m:r>
            <m:r>
              <m:t>e</m:t>
            </m:r>
            <m:r>
              <m:t>c</m:t>
            </m:r>
          </m:sub>
        </m:sSub>
        <m:r>
          <m:rPr>
            <m:sty m:val="p"/>
          </m:rPr>
          <m:t>/</m:t>
        </m:r>
        <m:r>
          <m:t>100</m:t>
        </m:r>
      </m:oMath>
      <w:r>
        <w:rPr>
          <w:lang w:val="en-US"/>
        </w:rPr>
        <w:t xml:space="preserve"> </w:t>
      </w:r>
      <w:r>
        <w:rPr>
          <w:lang w:val="en-US"/>
        </w:rPr>
        <w:t xml:space="preserve">its vega per IV percentage point. The reported first-order sensitivities are</w:t>
      </w:r>
    </w:p>
    <w:p>
      <w:pPr>
        <w:pStyle w:val="BodyText"/>
      </w:pPr>
      <m:oMathPara>
        <m:oMathParaPr>
          <m:jc m:val="center"/>
        </m:oMathParaPr>
        <m:oMath>
          <m:r>
            <m:t>δ</m:t>
          </m:r>
          <m:r>
            <m:t>I</m:t>
          </m:r>
          <m:sSub>
            <m:e>
              <m:r>
                <m:t>V</m:t>
              </m:r>
            </m:e>
            <m:sub>
              <m:r>
                <m:t>t</m:t>
              </m:r>
              <m:r>
                <m:t>i</m:t>
              </m:r>
              <m:r>
                <m:t>c</m:t>
              </m:r>
              <m:r>
                <m:t>k</m:t>
              </m:r>
              <m:r>
                <m:rPr>
                  <m:sty m:val="p"/>
                </m:rPr>
                <m:t>,</m:t>
              </m:r>
              <m:r>
                <m:t>p</m:t>
              </m:r>
              <m:r>
                <m:t>p</m:t>
              </m:r>
            </m:sub>
          </m:sSub>
          <m:r>
            <m:rPr>
              <m:sty m:val="p"/>
            </m:rPr>
            <m:t>≈</m:t>
          </m:r>
          <m:f>
            <m:fPr>
              <m:type m:val="bar"/>
            </m:fPr>
            <m:num>
              <m:r>
                <m:t>t</m:t>
              </m:r>
            </m:num>
            <m:den>
              <m:sSub>
                <m:e>
                  <m:r>
                    <m:t>ν</m:t>
                  </m:r>
                </m:e>
                <m:sub>
                  <m:r>
                    <m:t>p</m:t>
                  </m:r>
                  <m:r>
                    <m:t>p</m:t>
                  </m:r>
                </m:sub>
              </m:sSub>
            </m:den>
          </m:f>
          <m:r>
            <m:rPr>
              <m:sty m:val="p"/>
            </m:rPr>
            <m:t>,</m:t>
          </m:r>
          <m:r>
            <m:t>  </m:t>
          </m:r>
          <m:r>
            <m:t>δ</m:t>
          </m:r>
          <m:r>
            <m:t>I</m:t>
          </m:r>
          <m:sSub>
            <m:e>
              <m:r>
                <m:t>V</m:t>
              </m:r>
            </m:e>
            <m:sub>
              <m:r>
                <m:t>s</m:t>
              </m:r>
              <m:r>
                <m:t>p</m:t>
              </m:r>
              <m:r>
                <m:t>r</m:t>
              </m:r>
              <m:r>
                <m:t>e</m:t>
              </m:r>
              <m:r>
                <m:t>a</m:t>
              </m:r>
              <m:r>
                <m:t>d</m:t>
              </m:r>
              <m:r>
                <m:rPr>
                  <m:sty m:val="p"/>
                </m:rPr>
                <m:t>,</m:t>
              </m:r>
              <m:r>
                <m:t>p</m:t>
              </m:r>
              <m:r>
                <m:t>p</m:t>
              </m:r>
            </m:sub>
          </m:sSub>
          <m:r>
            <m:rPr>
              <m:sty m:val="p"/>
            </m:rPr>
            <m:t>≈</m:t>
          </m:r>
          <m:f>
            <m:fPr>
              <m:type m:val="bar"/>
            </m:fPr>
            <m:num>
              <m:r>
                <m:t>h</m:t>
              </m:r>
            </m:num>
            <m:den>
              <m:sSub>
                <m:e>
                  <m:r>
                    <m:t>ν</m:t>
                  </m:r>
                </m:e>
                <m:sub>
                  <m:r>
                    <m:t>p</m:t>
                  </m:r>
                  <m:r>
                    <m:t>p</m:t>
                  </m:r>
                </m:sub>
              </m:sSub>
            </m:den>
          </m:f>
          <m:r>
            <m:rPr>
              <m:sty m:val="p"/>
            </m:rPr>
            <m:t>,</m:t>
          </m:r>
          <m:r>
            <m:t>  </m:t>
          </m:r>
          <m:r>
            <m:t>δ</m:t>
          </m:r>
          <m:r>
            <m:t>I</m:t>
          </m:r>
          <m:sSub>
            <m:e>
              <m:r>
                <m:t>V</m:t>
              </m:r>
            </m:e>
            <m:sub>
              <m:r>
                <m:t>r</m:t>
              </m:r>
              <m:r>
                <m:t>o</m:t>
              </m:r>
              <m:r>
                <m:t>u</m:t>
              </m:r>
              <m:r>
                <m:t>n</m:t>
              </m:r>
              <m:r>
                <m:t>d</m:t>
              </m:r>
              <m:r>
                <m:t>o</m:t>
              </m:r>
              <m:r>
                <m:t>f</m:t>
              </m:r>
              <m:r>
                <m:t>f</m:t>
              </m:r>
              <m:r>
                <m:rPr>
                  <m:sty m:val="p"/>
                </m:rPr>
                <m:t>,</m:t>
              </m:r>
              <m:r>
                <m:t>p</m:t>
              </m:r>
              <m:r>
                <m:t>p</m:t>
              </m:r>
            </m:sub>
          </m:sSub>
          <m:r>
            <m:rPr>
              <m:sty m:val="p"/>
            </m:rPr>
            <m:t>≈</m:t>
          </m:r>
          <m:f>
            <m:fPr>
              <m:type m:val="bar"/>
            </m:fPr>
            <m:num>
              <m:r>
                <m:t>u</m:t>
              </m:r>
              <m:r>
                <m:rPr>
                  <m:sty m:val="p"/>
                </m:rPr>
                <m:t>|</m:t>
              </m:r>
              <m:r>
                <m:t>P</m:t>
              </m:r>
              <m:r>
                <m:rPr>
                  <m:sty m:val="p"/>
                </m:rPr>
                <m:t>|</m:t>
              </m:r>
            </m:num>
            <m:den>
              <m:sSub>
                <m:e>
                  <m:r>
                    <m:t>ν</m:t>
                  </m:r>
                </m:e>
                <m:sub>
                  <m:r>
                    <m:t>p</m:t>
                  </m:r>
                  <m:r>
                    <m:t>p</m:t>
                  </m:r>
                </m:sub>
              </m:sSub>
            </m:den>
          </m:f>
          <m:r>
            <m:rPr>
              <m:sty m:val="p"/>
            </m:rPr>
            <m:t>,</m:t>
          </m:r>
          <m:r>
            <m:t>  </m:t>
          </m:r>
          <m:r>
            <m:t>u</m:t>
          </m:r>
          <m:r>
            <m:rPr>
              <m:sty m:val="p"/>
            </m:rPr>
            <m:t>=</m:t>
          </m:r>
          <m:sSup>
            <m:e>
              <m:r>
                <m:t>2</m:t>
              </m:r>
            </m:e>
            <m:sup>
              <m:r>
                <m:rPr>
                  <m:sty m:val="p"/>
                </m:rPr>
                <m:t>−</m:t>
              </m:r>
              <m:r>
                <m:t>53</m:t>
              </m:r>
            </m:sup>
          </m:sSup>
          <m:r>
            <m:rPr>
              <m:sty m:val="p"/>
            </m:rPr>
            <m:t>.</m:t>
          </m:r>
        </m:oMath>
      </m:oMathPara>
    </w:p>
    <w:p>
      <w:pPr>
        <w:pStyle w:val="FirstParagraph"/>
      </w:pPr>
      <w:r>
        <w:rPr>
          <w:lang w:val="en-US"/>
        </w:rPr>
        <w:t xml:space="preserve">Here</w:t>
      </w:r>
      <w:r>
        <w:rPr>
          <w:lang w:val="en-US"/>
        </w:rPr>
        <w:t xml:space="preserve"> </w:t>
      </w:r>
      <m:oMath>
        <m:r>
          <m:t>t</m:t>
        </m:r>
      </m:oMath>
      <w:r>
        <w:rPr>
          <w:lang w:val="en-US"/>
        </w:rPr>
        <w:t xml:space="preserve"> </w:t>
      </w:r>
      <w:r>
        <w:rPr>
          <w:lang w:val="en-US"/>
        </w:rPr>
        <w:t xml:space="preserve">is a parameterized full price-tick step and</w:t>
      </w:r>
      <w:r>
        <w:rPr>
          <w:lang w:val="en-US"/>
        </w:rPr>
        <w:t xml:space="preserve"> </w:t>
      </w:r>
      <m:oMath>
        <m:r>
          <m:t>h</m:t>
        </m:r>
      </m:oMath>
      <w:r>
        <w:rPr>
          <w:lang w:val="en-US"/>
        </w:rPr>
        <w:t xml:space="preserve"> </w:t>
      </w:r>
      <w:r>
        <w:rPr>
          <w:lang w:val="en-US"/>
        </w:rPr>
        <w:t xml:space="preserve">is a quote half-spread, both in price units per underlying unit. Their numerical levels are hypothetical scenarios, not claims about any market. A full-tick sensitivity applies price shocks</w:t>
      </w:r>
      <w:r>
        <w:rPr>
          <w:lang w:val="en-US"/>
        </w:rPr>
        <w:t xml:space="preserve"> </w:t>
      </w:r>
      <m:oMath>
        <m:r>
          <m:rPr>
            <m:sty m:val="p"/>
          </m:rPr>
          <m:t>±</m:t>
        </m:r>
        <m:r>
          <m:t>t</m:t>
        </m:r>
      </m:oMath>
      <w:r>
        <w:rPr>
          <w:lang w:val="en-US"/>
        </w:rPr>
        <w:t xml:space="preserve">; a nearest-tick rounding-error sensitivity applies</w:t>
      </w:r>
      <w:r>
        <w:rPr>
          <w:lang w:val="en-US"/>
        </w:rPr>
        <w:t xml:space="preserve"> </w:t>
      </w:r>
      <m:oMath>
        <m:r>
          <m:rPr>
            <m:sty m:val="p"/>
          </m:rPr>
          <m:t>±</m:t>
        </m:r>
        <m:r>
          <m:t>t</m:t>
        </m:r>
        <m:r>
          <m:rPr>
            <m:sty m:val="p"/>
          </m:rPr>
          <m:t>/</m:t>
        </m:r>
        <m:r>
          <m:t>2</m:t>
        </m:r>
      </m:oMath>
      <w:r>
        <w:rPr>
          <w:lang w:val="en-US"/>
        </w:rPr>
        <w:t xml:space="preserve">. The half-tick results are reported separately and do not silently replace the full-tick convention. The roundoff row uses the IEEE-754 binary64 unit roundoff as an illustrative relative price perturbation; it is not a rigorous bound on total pricing or inversion error. The three sensitivities remain separate; they are neither summed nor collapsed by a maximum rule.</w:t>
      </w:r>
    </w:p>
    <w:p>
      <w:pPr>
        <w:pStyle w:val="BodyText"/>
      </w:pPr>
      <w:r>
        <w:rPr>
          <w:lang w:val="en-US"/>
        </w:rPr>
        <w:t xml:space="preserve">These derivatives are local. For tick and half-spread scenarios, the output also attempts exact IV inversion for both legs under positive and negative price shocks when each shocked price remains inside the configured European bounds. Define the leg-specific OTM-equivalent time values as</w:t>
      </w:r>
      <w:r>
        <w:rPr>
          <w:lang w:val="en-US"/>
        </w:rPr>
        <w:t xml:space="preserve"> </w:t>
      </w:r>
      <m:oMath>
        <m:sSub>
          <m:e>
            <m:r>
              <m:t>X</m:t>
            </m:r>
          </m:e>
          <m:sub>
            <m:r>
              <m:t>C</m:t>
            </m:r>
          </m:sub>
        </m:sSub>
        <m:r>
          <m:rPr>
            <m:sty m:val="p"/>
          </m:rPr>
          <m:t>=</m:t>
        </m:r>
        <m:r>
          <m:t>C</m:t>
        </m:r>
        <m:r>
          <m:rPr>
            <m:sty m:val="p"/>
          </m:rPr>
          <m:t>−</m:t>
        </m:r>
        <m:r>
          <m:rPr>
            <m:sty m:val="p"/>
          </m:rPr>
          <m:t>max</m:t>
        </m:r>
        <m:r>
          <m:rPr>
            <m:sty m:val="p"/>
          </m:rPr>
          <m:t>(</m:t>
        </m:r>
        <m:r>
          <m:t>S</m:t>
        </m:r>
        <m:sSup>
          <m:e>
            <m:r>
              <m:t>e</m:t>
            </m:r>
          </m:e>
          <m:sup>
            <m:r>
              <m:rPr>
                <m:sty m:val="p"/>
              </m:rPr>
              <m:t>−</m:t>
            </m:r>
            <m:r>
              <m:t>q</m:t>
            </m:r>
            <m:r>
              <m:t>T</m:t>
            </m:r>
          </m:sup>
        </m:sSup>
        <m:r>
          <m:rPr>
            <m:sty m:val="p"/>
          </m:rPr>
          <m:t>−</m:t>
        </m:r>
        <m:r>
          <m:t>K</m:t>
        </m:r>
        <m:sSup>
          <m:e>
            <m:r>
              <m:t>e</m:t>
            </m:r>
          </m:e>
          <m:sup>
            <m:r>
              <m:rPr>
                <m:sty m:val="p"/>
              </m:rPr>
              <m:t>−</m:t>
            </m:r>
            <m:r>
              <m:t>r</m:t>
            </m:r>
            <m:r>
              <m:t>T</m:t>
            </m:r>
          </m:sup>
        </m:sSup>
        <m:r>
          <m:rPr>
            <m:sty m:val="p"/>
          </m:rPr>
          <m:t>,</m:t>
        </m:r>
        <m:r>
          <m:t>0</m:t>
        </m:r>
        <m:r>
          <m:rPr>
            <m:sty m:val="p"/>
          </m:rPr>
          <m:t>)</m:t>
        </m:r>
      </m:oMath>
      <w:r>
        <w:rPr>
          <w:lang w:val="en-US"/>
        </w:rPr>
        <w:t xml:space="preserve"> </w:t>
      </w:r>
      <w:r>
        <w:rPr>
          <w:lang w:val="en-US"/>
        </w:rPr>
        <w:t xml:space="preserve">and</w:t>
      </w:r>
      <w:r>
        <w:rPr>
          <w:lang w:val="en-US"/>
        </w:rPr>
        <w:t xml:space="preserve"> </w:t>
      </w:r>
      <m:oMath>
        <m:sSub>
          <m:e>
            <m:r>
              <m:t>X</m:t>
            </m:r>
          </m:e>
          <m:sub>
            <m:r>
              <m:t>P</m:t>
            </m:r>
          </m:sub>
        </m:sSub>
        <m:r>
          <m:rPr>
            <m:sty m:val="p"/>
          </m:rPr>
          <m:t>=</m:t>
        </m:r>
        <m:r>
          <m:t>P</m:t>
        </m:r>
        <m:r>
          <m:rPr>
            <m:sty m:val="p"/>
          </m:rPr>
          <m:t>−</m:t>
        </m:r>
        <m:r>
          <m:rPr>
            <m:sty m:val="p"/>
          </m:rPr>
          <m:t>max</m:t>
        </m:r>
        <m:r>
          <m:rPr>
            <m:sty m:val="p"/>
          </m:rPr>
          <m:t>(</m:t>
        </m:r>
        <m:r>
          <m:t>K</m:t>
        </m:r>
        <m:sSup>
          <m:e>
            <m:r>
              <m:t>e</m:t>
            </m:r>
          </m:e>
          <m:sup>
            <m:r>
              <m:rPr>
                <m:sty m:val="p"/>
              </m:rPr>
              <m:t>−</m:t>
            </m:r>
            <m:r>
              <m:t>r</m:t>
            </m:r>
            <m:r>
              <m:t>T</m:t>
            </m:r>
          </m:sup>
        </m:sSup>
        <m:r>
          <m:rPr>
            <m:sty m:val="p"/>
          </m:rPr>
          <m:t>−</m:t>
        </m:r>
        <m:r>
          <m:t>S</m:t>
        </m:r>
        <m:sSup>
          <m:e>
            <m:r>
              <m:t>e</m:t>
            </m:r>
          </m:e>
          <m:sup>
            <m:r>
              <m:rPr>
                <m:sty m:val="p"/>
              </m:rPr>
              <m:t>−</m:t>
            </m:r>
            <m:r>
              <m:t>q</m:t>
            </m:r>
            <m:r>
              <m:t>T</m:t>
            </m:r>
          </m:sup>
        </m:sSup>
        <m:r>
          <m:rPr>
            <m:sty m:val="p"/>
          </m:rPr>
          <m:t>,</m:t>
        </m:r>
        <m:r>
          <m:t>0</m:t>
        </m:r>
        <m:r>
          <m:rPr>
            <m:sty m:val="p"/>
          </m:rPr>
          <m:t>)</m:t>
        </m:r>
      </m:oMath>
      <w:r>
        <w:rPr>
          <w:lang w:val="en-US"/>
        </w:rPr>
        <w:t xml:space="preserve">. With</w:t>
      </w:r>
      <w:r>
        <w:rPr>
          <w:lang w:val="en-US"/>
        </w:rPr>
        <w:t xml:space="preserve"> </w:t>
      </w:r>
      <m:oMath>
        <m:r>
          <m:t>A</m:t>
        </m:r>
        <m:r>
          <m:rPr>
            <m:sty m:val="p"/>
          </m:rPr>
          <m:t>=</m:t>
        </m:r>
        <m:r>
          <m:t>S</m:t>
        </m:r>
        <m:sSup>
          <m:e>
            <m:r>
              <m:t>e</m:t>
            </m:r>
          </m:e>
          <m:sup>
            <m:r>
              <m:rPr>
                <m:sty m:val="p"/>
              </m:rPr>
              <m:t>−</m:t>
            </m:r>
            <m:r>
              <m:t>q</m:t>
            </m:r>
            <m:r>
              <m:t>T</m:t>
            </m:r>
          </m:sup>
        </m:sSup>
        <m:r>
          <m:rPr>
            <m:sty m:val="p"/>
          </m:rPr>
          <m:t>−</m:t>
        </m:r>
        <m:r>
          <m:t>K</m:t>
        </m:r>
        <m:sSup>
          <m:e>
            <m:r>
              <m:t>e</m:t>
            </m:r>
          </m:e>
          <m:sup>
            <m:r>
              <m:rPr>
                <m:sty m:val="p"/>
              </m:rPr>
              <m:t>−</m:t>
            </m:r>
            <m:r>
              <m:t>r</m:t>
            </m:r>
            <m:r>
              <m:t>T</m:t>
            </m:r>
          </m:sup>
        </m:sSup>
      </m:oMath>
      <w:r>
        <w:rPr>
          <w:lang w:val="en-US"/>
        </w:rPr>
        <w:t xml:space="preserve">, the parity residual defined in Section 4 satisfies</w:t>
      </w:r>
      <w:r>
        <w:rPr>
          <w:lang w:val="en-US"/>
        </w:rPr>
        <w:t xml:space="preserve"> </w:t>
      </w:r>
      <m:oMath>
        <m:sSub>
          <m:e>
            <m:r>
              <m:t>X</m:t>
            </m:r>
          </m:e>
          <m:sub>
            <m:r>
              <m:t>C</m:t>
            </m:r>
          </m:sub>
        </m:sSub>
        <m:r>
          <m:rPr>
            <m:sty m:val="p"/>
          </m:rPr>
          <m:t>−</m:t>
        </m:r>
        <m:sSub>
          <m:e>
            <m:r>
              <m:t>X</m:t>
            </m:r>
          </m:e>
          <m:sub>
            <m:r>
              <m:t>P</m:t>
            </m:r>
          </m:sub>
        </m:sSub>
        <m:r>
          <m:rPr>
            <m:sty m:val="p"/>
          </m:rPr>
          <m:t>=</m:t>
        </m:r>
        <m:r>
          <m:t>C</m:t>
        </m:r>
        <m:r>
          <m:rPr>
            <m:sty m:val="p"/>
          </m:rPr>
          <m:t>−</m:t>
        </m:r>
        <m:r>
          <m:t>P</m:t>
        </m:r>
        <m:r>
          <m:rPr>
            <m:sty m:val="p"/>
          </m:rPr>
          <m:t>−</m:t>
        </m:r>
        <m:r>
          <m:t>A</m:t>
        </m:r>
        <m:r>
          <m:rPr>
            <m:sty m:val="p"/>
          </m:rPr>
          <m:t>=</m:t>
        </m:r>
        <m:r>
          <m:t>R</m:t>
        </m:r>
      </m:oMath>
      <w:r>
        <w:rPr>
          <w:lang w:val="en-US"/>
        </w:rPr>
        <w:t xml:space="preserve">; the two values are equal only when</w:t>
      </w:r>
      <w:r>
        <w:rPr>
          <w:lang w:val="en-US"/>
        </w:rPr>
        <w:t xml:space="preserve"> </w:t>
      </w:r>
      <m:oMath>
        <m:r>
          <m:t>R</m:t>
        </m:r>
        <m:r>
          <m:rPr>
            <m:sty m:val="p"/>
          </m:rPr>
          <m:t>=</m:t>
        </m:r>
        <m:r>
          <m:t>0</m:t>
        </m:r>
      </m:oMath>
      <w:r>
        <w:rPr>
          <w:lang w:val="en-US"/>
        </w:rPr>
        <w:t xml:space="preserve">, not in general when CPIV is nonzero. The pair-level screen is therefore</w:t>
      </w:r>
      <w:r>
        <w:rPr>
          <w:lang w:val="en-US"/>
        </w:rPr>
        <w:t xml:space="preserve"> </w:t>
      </w:r>
      <m:oMath>
        <m:r>
          <m:rPr>
            <m:sty m:val="p"/>
          </m:rPr>
          <m:t>min</m:t>
        </m:r>
        <m:r>
          <m:rPr>
            <m:sty m:val="p"/>
          </m:rPr>
          <m:t>(</m:t>
        </m:r>
        <m:sSub>
          <m:e>
            <m:r>
              <m:t>X</m:t>
            </m:r>
          </m:e>
          <m:sub>
            <m:r>
              <m:t>C</m:t>
            </m:r>
          </m:sub>
        </m:sSub>
        <m:r>
          <m:rPr>
            <m:sty m:val="p"/>
          </m:rPr>
          <m:t>,</m:t>
        </m:r>
        <m:sSub>
          <m:e>
            <m:r>
              <m:t>X</m:t>
            </m:r>
          </m:e>
          <m:sub>
            <m:r>
              <m:t>P</m:t>
            </m:r>
          </m:sub>
        </m:sSub>
        <m:r>
          <m:rPr>
            <m:sty m:val="p"/>
          </m:rPr>
          <m:t>)</m:t>
        </m:r>
        <m:r>
          <m:rPr>
            <m:sty m:val="p"/>
          </m:rPr>
          <m:t>≥</m:t>
        </m:r>
        <m:r>
          <m:t>t</m:t>
        </m:r>
      </m:oMath>
      <w:r>
        <w:rPr>
          <w:lang w:val="en-US"/>
        </w:rPr>
        <w:t xml:space="preserve">, rather than assuming equal leg values or screening the in-the-money premium. Define the pair as</w:t>
      </w:r>
      <w:r>
        <w:rPr>
          <w:lang w:val="en-US"/>
        </w:rPr>
        <w:t xml:space="preserve"> </w:t>
      </w:r>
      <w:r>
        <w:rPr>
          <w:b/>
          <w:bCs/>
          <w:lang w:val="en-US"/>
        </w:rPr>
        <w:t xml:space="preserve">identified</w:t>
      </w:r>
      <w:r>
        <w:rPr>
          <w:lang w:val="en-US"/>
        </w:rPr>
        <w:t xml:space="preserve"> </w:t>
      </w:r>
      <w:r>
        <w:rPr>
          <w:lang w:val="en-US"/>
        </w:rPr>
        <w:t xml:space="preserve">under the full-tick finite-shock design only when this minimum reaches the declared tick</w:t>
      </w:r>
      <w:r>
        <w:rPr>
          <w:lang w:val="en-US"/>
        </w:rPr>
        <w:t xml:space="preserve"> </w:t>
      </w:r>
      <m:oMath>
        <m:r>
          <m:t>t</m:t>
        </m:r>
      </m:oMath>
      <w:r>
        <w:rPr>
          <w:lang w:val="en-US"/>
        </w:rPr>
        <w:t xml:space="preserve"> </w:t>
      </w:r>
      <w:r>
        <w:rPr>
          <w:lang w:val="en-US"/>
        </w:rPr>
        <w:t xml:space="preserve">and all four shocked prices</w:t>
      </w:r>
      <w:r>
        <w:rPr>
          <w:lang w:val="en-US"/>
        </w:rPr>
        <w:t xml:space="preserve"> </w:t>
      </w:r>
      <m:oMath>
        <m:r>
          <m:t>C</m:t>
        </m:r>
        <m:r>
          <m:rPr>
            <m:sty m:val="p"/>
          </m:rPr>
          <m:t>±</m:t>
        </m:r>
        <m:r>
          <m:t>t</m:t>
        </m:r>
      </m:oMath>
      <w:r>
        <w:rPr>
          <w:lang w:val="en-US"/>
        </w:rPr>
        <w:t xml:space="preserve"> </w:t>
      </w:r>
      <w:r>
        <w:rPr>
          <w:lang w:val="en-US"/>
        </w:rPr>
        <w:t xml:space="preserve">and</w:t>
      </w:r>
      <w:r>
        <w:rPr>
          <w:lang w:val="en-US"/>
        </w:rPr>
        <w:t xml:space="preserve"> </w:t>
      </w:r>
      <m:oMath>
        <m:r>
          <m:t>P</m:t>
        </m:r>
        <m:r>
          <m:rPr>
            <m:sty m:val="p"/>
          </m:rPr>
          <m:t>±</m:t>
        </m:r>
        <m:r>
          <m:t>t</m:t>
        </m:r>
      </m:oMath>
      <w:r>
        <w:rPr>
          <w:lang w:val="en-US"/>
        </w:rPr>
        <w:t xml:space="preserve"> </w:t>
      </w:r>
      <w:r>
        <w:rPr>
          <w:lang w:val="en-US"/>
        </w:rPr>
        <w:t xml:space="preserve">have finite roots. For quote half-spread scenarios, the declared 0.01 reference tick is used for the same minimum-value screen; the exact shocks are applied separately to each leg. This is distinct from precision. For a predeclared tolerance</w:t>
      </w:r>
      <w:r>
        <w:rPr>
          <w:lang w:val="en-US"/>
        </w:rPr>
        <w:t xml:space="preserve"> </w:t>
      </w:r>
      <m:oMath>
        <m:sSub>
          <m:e>
            <m:r>
              <m:t>τ</m:t>
            </m:r>
          </m:e>
          <m:sub>
            <m:r>
              <m:t>I</m:t>
            </m:r>
            <m:r>
              <m:t>V</m:t>
            </m:r>
          </m:sub>
        </m:sSub>
      </m:oMath>
      <w:r>
        <w:rPr>
          <w:lang w:val="en-US"/>
        </w:rPr>
        <w:t xml:space="preserve"> </w:t>
      </w:r>
      <w:r>
        <w:rPr>
          <w:lang w:val="en-US"/>
        </w:rPr>
        <w:t xml:space="preserve">in volatility percentage points, define the maximum available absolute IV displacement across legs and shock directions; an identified pair is</w:t>
      </w:r>
      <w:r>
        <w:rPr>
          <w:lang w:val="en-US"/>
        </w:rPr>
        <w:t xml:space="preserve"> </w:t>
      </w:r>
      <w:r>
        <w:rPr>
          <w:b/>
          <w:bCs/>
          <w:lang w:val="en-US"/>
        </w:rPr>
        <w:t xml:space="preserve">within</w:t>
      </w:r>
      <w:r>
        <w:rPr>
          <w:b/>
          <w:bCs/>
          <w:lang w:val="en-US"/>
        </w:rPr>
        <w:t xml:space="preserve"> </w:t>
      </w:r>
      <m:oMath>
        <m:sSub>
          <m:e>
            <m:r>
              <m:t>τ</m:t>
            </m:r>
          </m:e>
          <m:sub>
            <m:r>
              <m:t>I</m:t>
            </m:r>
            <m:r>
              <m:t>V</m:t>
            </m:r>
          </m:sub>
        </m:sSub>
      </m:oMath>
      <w:r>
        <w:rPr>
          <w:lang w:val="en-US"/>
        </w:rPr>
        <w:t xml:space="preserve"> </w:t>
      </w:r>
      <w:r>
        <w:rPr>
          <w:lang w:val="en-US"/>
        </w:rPr>
        <w:t xml:space="preserve">only if every required finite-shock displacement is no greater than</w:t>
      </w:r>
      <w:r>
        <w:rPr>
          <w:lang w:val="en-US"/>
        </w:rPr>
        <w:t xml:space="preserve"> </w:t>
      </w:r>
      <m:oMath>
        <m:sSub>
          <m:e>
            <m:r>
              <m:t>τ</m:t>
            </m:r>
          </m:e>
          <m:sub>
            <m:r>
              <m:t>I</m:t>
            </m:r>
            <m:r>
              <m:t>V</m:t>
            </m:r>
          </m:sub>
        </m:sSub>
      </m:oMath>
      <w:r>
        <w:rPr>
          <w:lang w:val="en-US"/>
        </w:rPr>
        <w:t xml:space="preserve">. This is the worst-direction displacement from the base IV, not the full two-sided interval width. A missing root or a pair minimum below the applicable reference tick is unresolved and does not qualify as within any tolerance. Nearest-tick rounding results use shocks of half a declared tick on each leg and are reported as a separate sensitivity; they do not alter the full-tick screen. Failed inversions are not clipped or converted into finite intervals. Roundoff-scale exact inversion is omitted because it is below the meaningful resolution of this solver. The baseline absolute-vega guard (</w:t>
      </w:r>
      <m:oMath>
        <m:sSub>
          <m:e>
            <m:r>
              <m:t>ν</m:t>
            </m:r>
          </m:e>
          <m:sub>
            <m:r>
              <m:t>d</m:t>
            </m:r>
            <m:r>
              <m:t>e</m:t>
            </m:r>
            <m:r>
              <m:t>c</m:t>
            </m:r>
          </m:sub>
        </m:sSub>
        <m:r>
          <m:rPr>
            <m:sty m:val="p"/>
          </m:rPr>
          <m:t>≥</m:t>
        </m:r>
        <m:sSup>
          <m:e>
            <m:r>
              <m:t>10</m:t>
            </m:r>
          </m:e>
          <m:sup>
            <m:r>
              <m:rPr>
                <m:sty m:val="p"/>
              </m:rPr>
              <m:t>−</m:t>
            </m:r>
            <m:r>
              <m:t>6</m:t>
            </m:r>
          </m:sup>
        </m:sSup>
      </m:oMath>
      <w:r>
        <w:rPr>
          <w:lang w:val="en-US"/>
        </w:rPr>
        <w:t xml:space="preserve">) is reported separately and is not used to certify identification or precision.</w:t>
      </w:r>
    </w:p>
    <w:p>
      <w:pPr>
        <w:pStyle w:val="BodyText"/>
      </w:pPr>
      <w:r>
        <w:rPr>
          <w:lang w:val="en-US"/>
        </w:rPr>
        <w:t xml:space="preserve">The synthetic grid reuses the 120 combinations of</w:t>
      </w:r>
      <w:r>
        <w:rPr>
          <w:lang w:val="en-US"/>
        </w:rPr>
        <w:t xml:space="preserve"> </w:t>
      </w:r>
      <m:oMath>
        <m:r>
          <m:t>S</m:t>
        </m:r>
        <m:r>
          <m:rPr>
            <m:sty m:val="p"/>
          </m:rPr>
          <m:t>/</m:t>
        </m:r>
        <m:r>
          <m:t>K</m:t>
        </m:r>
      </m:oMath>
      <w:r>
        <w:rPr>
          <w:lang w:val="en-US"/>
        </w:rPr>
        <w:t xml:space="preserve">, expiry, reference IV, and carry specified in Section 6.1. Each call and put is priced at the same reference IV to isolate price-to-IV sensitivity, so</w:t>
      </w:r>
      <w:r>
        <w:rPr>
          <w:lang w:val="en-US"/>
        </w:rPr>
        <w:t xml:space="preserve"> </w:t>
      </w:r>
      <m:oMath>
        <m:r>
          <m:t>R</m:t>
        </m:r>
        <m:r>
          <m:rPr>
            <m:sty m:val="p"/>
          </m:rPr>
          <m:t>=</m:t>
        </m:r>
        <m:r>
          <m:t>0</m:t>
        </m:r>
      </m:oMath>
      <w:r>
        <w:rPr>
          <w:lang w:val="en-US"/>
        </w:rPr>
        <w:t xml:space="preserve"> </w:t>
      </w:r>
      <w:r>
        <w:rPr>
          <w:lang w:val="en-US"/>
        </w:rPr>
        <w:t xml:space="preserve">and</w:t>
      </w:r>
      <w:r>
        <w:rPr>
          <w:lang w:val="en-US"/>
        </w:rPr>
        <w:t xml:space="preserve"> </w:t>
      </w:r>
      <m:oMath>
        <m:sSub>
          <m:e>
            <m:r>
              <m:t>X</m:t>
            </m:r>
          </m:e>
          <m:sub>
            <m:r>
              <m:t>C</m:t>
            </m:r>
          </m:sub>
        </m:sSub>
        <m:r>
          <m:rPr>
            <m:sty m:val="p"/>
          </m:rPr>
          <m:t>=</m:t>
        </m:r>
        <m:sSub>
          <m:e>
            <m:r>
              <m:t>X</m:t>
            </m:r>
          </m:e>
          <m:sub>
            <m:r>
              <m:t>P</m:t>
            </m:r>
          </m:sub>
        </m:sSub>
      </m:oMath>
      <w:r>
        <w:rPr>
          <w:lang w:val="en-US"/>
        </w:rPr>
        <w:t xml:space="preserve"> </w:t>
      </w:r>
      <w:r>
        <w:rPr>
          <w:lang w:val="en-US"/>
        </w:rPr>
        <w:t xml:space="preserve">in these particular base cases. Default tick scenarios are 0.0001, 0.001, 0.01, and 0.1 price units; half-spread scenarios are 0.01, 0.02, 0.05, 0.10, and 0.25. The source code accepts other positive tick and half-spread values. Tick rows compare</w:t>
      </w:r>
      <w:r>
        <w:rPr>
          <w:lang w:val="en-US"/>
        </w:rPr>
        <w:t xml:space="preserve"> </w:t>
      </w:r>
      <m:oMath>
        <m:r>
          <m:rPr>
            <m:sty m:val="p"/>
          </m:rPr>
          <m:t>min</m:t>
        </m:r>
        <m:r>
          <m:rPr>
            <m:sty m:val="p"/>
          </m:rPr>
          <m:t>(</m:t>
        </m:r>
        <m:sSub>
          <m:e>
            <m:r>
              <m:t>X</m:t>
            </m:r>
          </m:e>
          <m:sub>
            <m:r>
              <m:t>C</m:t>
            </m:r>
          </m:sub>
        </m:sSub>
        <m:r>
          <m:rPr>
            <m:sty m:val="p"/>
          </m:rPr>
          <m:t>,</m:t>
        </m:r>
        <m:sSub>
          <m:e>
            <m:r>
              <m:t>X</m:t>
            </m:r>
          </m:e>
          <m:sub>
            <m:r>
              <m:t>P</m:t>
            </m:r>
          </m:sub>
        </m:sSub>
        <m:r>
          <m:rPr>
            <m:sty m:val="p"/>
          </m:rPr>
          <m:t>)</m:t>
        </m:r>
      </m:oMath>
      <w:r>
        <w:rPr>
          <w:lang w:val="en-US"/>
        </w:rPr>
        <w:t xml:space="preserve"> </w:t>
      </w:r>
      <w:r>
        <w:rPr>
          <w:lang w:val="en-US"/>
        </w:rPr>
        <w:t xml:space="preserve">with the row-specific tick; half-spread and roundoff rows compare the same minimum with the 0.01 reference tick (or the smallest configured tick if 0.01 is absent). The CSV keeps call and put legs separate. Figure 4 reports identification and whether the maximum worst-direction absolute finite-shock displacement is within the illustrative</w:t>
      </w:r>
      <w:r>
        <w:rPr>
          <w:lang w:val="en-US"/>
        </w:rPr>
        <w:t xml:space="preserve"> </w:t>
      </w:r>
      <m:oMath>
        <m:sSub>
          <m:e>
            <m:r>
              <m:t>τ</m:t>
            </m:r>
          </m:e>
          <m:sub>
            <m:r>
              <m:t>I</m:t>
            </m:r>
            <m:r>
              <m:t>V</m:t>
            </m:r>
          </m:sub>
        </m:sSub>
        <m:r>
          <m:rPr>
            <m:sty m:val="p"/>
          </m:rPr>
          <m:t>=</m:t>
        </m:r>
        <m:r>
          <m:t>0.10</m:t>
        </m:r>
      </m:oMath>
      <w:r>
        <w:rPr>
          <w:lang w:val="en-US"/>
        </w:rPr>
        <w:t xml:space="preserve"> </w:t>
      </w:r>
      <w:r>
        <w:rPr>
          <w:lang w:val="en-US"/>
        </w:rPr>
        <w:t xml:space="preserve">pp threshold; Figure 5 reports the magnitude of exact finite changes. Both figures preserve leg-level machine-readable rows in the generated output.</w:t>
      </w:r>
    </w:p>
    <w:bookmarkEnd w:id="21"/>
    <w:bookmarkEnd w:id="22"/>
    <w:bookmarkStart w:id="52" w:name="results"/>
    <w:p>
      <w:pPr>
        <w:pStyle w:val="Heading2"/>
      </w:pPr>
      <w:r>
        <w:rPr>
          <w:lang w:val="en-US"/>
        </w:rPr>
        <w:t xml:space="preserve">7. Results</w:t>
      </w:r>
    </w:p>
    <w:bookmarkStart w:id="27" w:name="X92247ec5b967dcaed0ec07aa104e87c1249e51b"/>
    <w:p>
      <w:pPr>
        <w:pStyle w:val="Heading3"/>
      </w:pPr>
      <w:r>
        <w:rPr>
          <w:lang w:val="en-US"/>
        </w:rPr>
        <w:t xml:space="preserve">7.1 Local approximation and numerical resolution</w:t>
      </w:r>
    </w:p>
    <w:p>
      <w:pPr>
        <w:pStyle w:val="FirstParagraph"/>
      </w:pPr>
      <w:r>
        <w:rPr>
          <w:lang w:val="en-US"/>
        </w:rPr>
        <w:t xml:space="preserve">Of the 720 grid cells, 624 pass the configured absolute midpoint-vega guard and 96 do not. The midpoint-reference approximation is evaluated only on the 624 passing cells, with each cell equally weighted. Put-endpoint and call-endpoint vega errors remain separate, each with 624 observations; their median, nearest-rank p95, and maximum are equal because the absolute call-endpoint error at spread</w:t>
      </w:r>
      <w:r>
        <w:rPr>
          <w:lang w:val="en-US"/>
        </w:rPr>
        <w:t xml:space="preserve"> </w:t>
      </w:r>
      <m:oMath>
        <m:r>
          <m:rPr>
            <m:sty m:val="p"/>
          </m:rPr>
          <m:t>+</m:t>
        </m:r>
        <m:r>
          <m:t>d</m:t>
        </m:r>
      </m:oMath>
      <w:r>
        <w:rPr>
          <w:lang w:val="en-US"/>
        </w:rPr>
        <w:t xml:space="preserve"> </w:t>
      </w:r>
      <w:r>
        <w:rPr>
          <w:lang w:val="en-US"/>
        </w:rPr>
        <w:t xml:space="preserve">matches the absolute put-endpoint error at spread</w:t>
      </w:r>
      <w:r>
        <w:rPr>
          <w:lang w:val="en-US"/>
        </w:rPr>
        <w:t xml:space="preserve"> </w:t>
      </w:r>
      <m:oMath>
        <m:r>
          <m:rPr>
            <m:sty m:val="p"/>
          </m:rPr>
          <m:t>−</m:t>
        </m:r>
        <m:r>
          <m:t>d</m:t>
        </m:r>
      </m:oMath>
      <w:r>
        <w:rPr>
          <w:lang w:val="en-US"/>
        </w:rPr>
        <w:t xml:space="preserve"> </w:t>
      </w:r>
      <w:r>
        <w:rPr>
          <w:lang w:val="en-US"/>
        </w:rPr>
        <w:t xml:space="preserve">for each reflected configuration, not because the two endpoint errors match within a cell. The midpoint is specified by construction and makes this a favorable centered-reference diagnostic, not evidence that a market-observed reference will be centered. The worst centered-grid error occurs at</w:t>
      </w:r>
      <w:r>
        <w:rPr>
          <w:lang w:val="en-US"/>
        </w:rPr>
        <w:t xml:space="preserve"> </w:t>
      </w:r>
      <m:oMath>
        <m:r>
          <m:t>S</m:t>
        </m:r>
        <m:r>
          <m:rPr>
            <m:sty m:val="p"/>
          </m:rPr>
          <m:t>/</m:t>
        </m:r>
        <m:r>
          <m:t>K</m:t>
        </m:r>
        <m:r>
          <m:rPr>
            <m:sty m:val="p"/>
          </m:rPr>
          <m:t>=</m:t>
        </m:r>
        <m:r>
          <m:t>0.8</m:t>
        </m:r>
      </m:oMath>
      <w:r>
        <w:rPr>
          <w:lang w:val="en-US"/>
        </w:rPr>
        <w:t xml:space="preserve">, 90 days, 10% reference IV, and a two-point spread. Table 1 reports the error by spread and under deliberately shifted reference volatilities; these are equally weighted synthetic diagnostics, not estimates of live-chain error.</w:t>
      </w:r>
    </w:p>
    <w:p>
      <w:pPr>
        <w:pStyle w:val="BodyText"/>
      </w:pPr>
      <w:r>
        <w:rPr>
          <w:lang w:val="en-US"/>
        </w:rPr>
        <w:t xml:space="preserve">For a smooth vega function, midpoint symmetry removes odd-derivative terms from the integral, leaving the leading local-approximation error proportional to</w:t>
      </w:r>
      <w:r>
        <w:rPr>
          <w:lang w:val="en-US"/>
        </w:rPr>
        <w:t xml:space="preserve"> </w:t>
      </w:r>
      <m:oMath>
        <m:sSup>
          <m:e>
            <m:r>
              <m:t>d</m:t>
            </m:r>
          </m:e>
          <m:sup>
            <m:r>
              <m:t>3</m:t>
            </m:r>
          </m:sup>
        </m:sSup>
      </m:oMath>
      <w:r>
        <w:rPr>
          <w:lang w:val="en-US"/>
        </w:rPr>
        <w:t xml:space="preserve">, as shown in Section 6.1. In the three-point spread grid, median absolute error grows by about eightfold when</w:t>
      </w:r>
      <w:r>
        <w:rPr>
          <w:lang w:val="en-US"/>
        </w:rPr>
        <w:t xml:space="preserve"> </w:t>
      </w:r>
      <m:oMath>
        <m:r>
          <m:rPr>
            <m:sty m:val="p"/>
          </m:rPr>
          <m:t>|</m:t>
        </m:r>
        <m:r>
          <m:t>d</m:t>
        </m:r>
        <m:r>
          <m:rPr>
            <m:sty m:val="p"/>
          </m:rPr>
          <m:t>|</m:t>
        </m:r>
      </m:oMath>
      <w:r>
        <w:rPr>
          <w:lang w:val="en-US"/>
        </w:rPr>
        <w:t xml:space="preserve"> </w:t>
      </w:r>
      <w:r>
        <w:rPr>
          <w:lang w:val="en-US"/>
        </w:rPr>
        <w:t xml:space="preserve">doubles; the median per-configuration log-log slope is 3.0003 across 104 configurations (range 2.8733–3.0441), excluding errors below</w:t>
      </w:r>
      <w:r>
        <w:rPr>
          <w:lang w:val="en-US"/>
        </w:rPr>
        <w:t xml:space="preserve"> </w:t>
      </w:r>
      <m:oMath>
        <m:sSup>
          <m:e>
            <m:r>
              <m:t>10</m:t>
            </m:r>
          </m:e>
          <m:sup>
            <m:r>
              <m:rPr>
                <m:sty m:val="p"/>
              </m:rPr>
              <m:t>−</m:t>
            </m:r>
            <m:r>
              <m:t>9</m:t>
            </m:r>
          </m:sup>
        </m:sSup>
      </m:oMath>
      <w:r>
        <w:rPr>
          <w:lang w:val="en-US"/>
        </w:rPr>
        <w:t xml:space="preserve"> </w:t>
      </w:r>
      <w:r>
        <w:rPr>
          <w:lang w:val="en-US"/>
        </w:rPr>
        <w:t xml:space="preserve">pp. The centered values are not robust to reference misspecification: a synthetic one-volatility-point offset raises the median absolute error from 0.0000786 to 0.04238 pp and the nearest-rank p95 from 0.0872 to 1.4767 pp. These offsets are sensitivity scenarios, not estimates of errors in an independently observed ATM IV. If both leg IV roots are available, CPIV is their direct difference; the local approximation is relevant only as a diagnostic around a separately specified reference.</w:t>
      </w:r>
    </w:p>
    <w:p>
      <w:pPr>
        <w:pStyle w:val="BodyText"/>
      </w:pPr>
      <w:r>
        <w:rPr>
          <w:lang w:val="en-US"/>
        </w:rPr>
        <w:t xml:space="preserve">Figure 1 visualizes the approximately cubic increase in centered-grid error as the target spread grows; Table 1 reports the corresponding summaries and the sensitivity to deliberately shifted reference volatilities.</w:t>
      </w:r>
    </w:p>
    <w:p>
      <w:pPr>
        <w:pStyle w:val="BodyText"/>
      </w:pPr>
      <w:r>
        <w:rPr>
          <w:b/>
          <w:bCs/>
          <w:lang w:val="en-US"/>
        </w:rPr>
        <w:t xml:space="preserve">Table 1.</w:t>
      </w:r>
      <w:r>
        <w:rPr>
          <w:lang w:val="en-US"/>
        </w:rPr>
        <w:t xml:space="preserve"> </w:t>
      </w:r>
      <w:r>
        <w:rPr>
          <w:lang w:val="en-US"/>
        </w:rPr>
        <w:t xml:space="preserve">Synthetic midpoint-approximation error by absolute spread and sensitivity to signed offsets from the midpoint reference; all errors are absolute and in volatility percentage points.</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Reference design</w:t>
            </w:r>
          </w:p>
        </w:tc>
        <w:tc>
          <w:tcPr/>
          <w:p>
            <w:pPr>
              <w:pStyle w:val="Compact"/>
              <w:jc w:val="right"/>
            </w:pPr>
            <w:r>
              <w:rPr>
                <w:lang w:val="en-US"/>
              </w:rPr>
              <w:t xml:space="preserve">Evaluations (skipped)</w:t>
            </w:r>
          </w:p>
        </w:tc>
        <w:tc>
          <w:tcPr/>
          <w:p>
            <w:pPr>
              <w:pStyle w:val="Compact"/>
              <w:jc w:val="right"/>
            </w:pPr>
            <w:r>
              <w:rPr>
                <w:lang w:val="en-US"/>
              </w:rPr>
              <w:t xml:space="preserve">Median</w:t>
            </w:r>
          </w:p>
        </w:tc>
        <w:tc>
          <w:tcPr/>
          <w:p>
            <w:pPr>
              <w:pStyle w:val="Compact"/>
              <w:jc w:val="right"/>
            </w:pPr>
            <w:r>
              <w:rPr>
                <w:lang w:val="en-US"/>
              </w:rPr>
              <w:t xml:space="preserve">Nearest-rank p95</w:t>
            </w:r>
          </w:p>
        </w:tc>
        <w:tc>
          <w:tcPr/>
          <w:p>
            <w:pPr>
              <w:pStyle w:val="Compact"/>
              <w:jc w:val="right"/>
            </w:pPr>
            <w:r>
              <w:rPr>
                <w:lang w:val="en-US"/>
              </w:rPr>
              <w:t xml:space="preserve">Maximum</w:t>
            </w:r>
          </w:p>
        </w:tc>
      </w:tr>
      <w:tr>
        <w:tc>
          <w:tcPr/>
          <w:p>
            <w:pPr>
              <w:pStyle w:val="Compact"/>
              <w:jc w:val="left"/>
            </w:pPr>
            <w:r>
              <w:rPr>
                <w:lang w:val="en-US"/>
              </w:rPr>
              <w:t xml:space="preserve">Centered,</w:t>
            </w:r>
            <w:r>
              <w:rPr>
                <w:lang w:val="en-US"/>
              </w:rPr>
              <w:t xml:space="preserve"> </w:t>
            </w:r>
            <m:oMath>
              <m:r>
                <m:rPr>
                  <m:sty m:val="p"/>
                </m:rPr>
                <m:t>|</m:t>
              </m:r>
              <m:r>
                <m:t>d</m:t>
              </m:r>
              <m:r>
                <m:rPr>
                  <m:sty m:val="p"/>
                </m:rPr>
                <m:t>|</m:t>
              </m:r>
              <m:r>
                <m:rPr>
                  <m:sty m:val="p"/>
                </m:rPr>
                <m:t>=</m:t>
              </m:r>
              <m:r>
                <m:t>0.5</m:t>
              </m:r>
            </m:oMath>
            <w:r>
              <w:rPr>
                <w:lang w:val="en-US"/>
              </w:rPr>
              <w:t xml:space="preserve"> </w:t>
            </w:r>
            <w:r>
              <w:rPr>
                <w:lang w:val="en-US"/>
              </w:rPr>
              <w:t xml:space="preserve">pp</w:t>
            </w:r>
          </w:p>
        </w:tc>
        <w:tc>
          <w:tcPr/>
          <w:p>
            <w:pPr>
              <w:pStyle w:val="Compact"/>
              <w:jc w:val="right"/>
            </w:pPr>
            <w:r>
              <w:rPr>
                <w:lang w:val="en-US"/>
              </w:rPr>
              <w:t xml:space="preserve">208 (0)</w:t>
            </w:r>
          </w:p>
        </w:tc>
        <w:tc>
          <w:tcPr/>
          <w:p>
            <w:pPr>
              <w:pStyle w:val="Compact"/>
              <w:jc w:val="right"/>
            </w:pPr>
            <w:r>
              <w:rPr>
                <w:lang w:val="en-US"/>
              </w:rPr>
              <w:t xml:space="preserve">0.00000839</w:t>
            </w:r>
          </w:p>
        </w:tc>
        <w:tc>
          <w:tcPr/>
          <w:p>
            <w:pPr>
              <w:pStyle w:val="Compact"/>
              <w:jc w:val="right"/>
            </w:pPr>
            <w:r>
              <w:rPr>
                <w:lang w:val="en-US"/>
              </w:rPr>
              <w:t xml:space="preserve">0.006630</w:t>
            </w:r>
          </w:p>
        </w:tc>
        <w:tc>
          <w:tcPr/>
          <w:p>
            <w:pPr>
              <w:pStyle w:val="Compact"/>
              <w:jc w:val="right"/>
            </w:pPr>
            <w:r>
              <w:rPr>
                <w:lang w:val="en-US"/>
              </w:rPr>
              <w:t xml:space="preserve">0.01816</w:t>
            </w:r>
          </w:p>
        </w:tc>
      </w:tr>
      <w:tr>
        <w:tc>
          <w:tcPr/>
          <w:p>
            <w:pPr>
              <w:pStyle w:val="Compact"/>
              <w:jc w:val="left"/>
            </w:pPr>
            <w:r>
              <w:rPr>
                <w:lang w:val="en-US"/>
              </w:rPr>
              <w:t xml:space="preserve">Centered,</w:t>
            </w:r>
            <w:r>
              <w:rPr>
                <w:lang w:val="en-US"/>
              </w:rPr>
              <w:t xml:space="preserve"> </w:t>
            </w:r>
            <m:oMath>
              <m:r>
                <m:rPr>
                  <m:sty m:val="p"/>
                </m:rPr>
                <m:t>|</m:t>
              </m:r>
              <m:r>
                <m:t>d</m:t>
              </m:r>
              <m:r>
                <m:rPr>
                  <m:sty m:val="p"/>
                </m:rPr>
                <m:t>|</m:t>
              </m:r>
              <m:r>
                <m:rPr>
                  <m:sty m:val="p"/>
                </m:rPr>
                <m:t>=</m:t>
              </m:r>
              <m:r>
                <m:t>1.0</m:t>
              </m:r>
            </m:oMath>
            <w:r>
              <w:rPr>
                <w:lang w:val="en-US"/>
              </w:rPr>
              <w:t xml:space="preserve"> </w:t>
            </w:r>
            <w:r>
              <w:rPr>
                <w:lang w:val="en-US"/>
              </w:rPr>
              <w:t xml:space="preserve">pp</w:t>
            </w:r>
          </w:p>
        </w:tc>
        <w:tc>
          <w:tcPr/>
          <w:p>
            <w:pPr>
              <w:pStyle w:val="Compact"/>
              <w:jc w:val="right"/>
            </w:pPr>
            <w:r>
              <w:rPr>
                <w:lang w:val="en-US"/>
              </w:rPr>
              <w:t xml:space="preserve">208 (0)</w:t>
            </w:r>
          </w:p>
        </w:tc>
        <w:tc>
          <w:tcPr/>
          <w:p>
            <w:pPr>
              <w:pStyle w:val="Compact"/>
              <w:jc w:val="right"/>
            </w:pPr>
            <w:r>
              <w:rPr>
                <w:lang w:val="en-US"/>
              </w:rPr>
              <w:t xml:space="preserve">0.00006712</w:t>
            </w:r>
          </w:p>
        </w:tc>
        <w:tc>
          <w:tcPr/>
          <w:p>
            <w:pPr>
              <w:pStyle w:val="Compact"/>
              <w:jc w:val="right"/>
            </w:pPr>
            <w:r>
              <w:rPr>
                <w:lang w:val="en-US"/>
              </w:rPr>
              <w:t xml:space="preserve">0.053070</w:t>
            </w:r>
          </w:p>
        </w:tc>
        <w:tc>
          <w:tcPr/>
          <w:p>
            <w:pPr>
              <w:pStyle w:val="Compact"/>
              <w:jc w:val="right"/>
            </w:pPr>
            <w:r>
              <w:rPr>
                <w:lang w:val="en-US"/>
              </w:rPr>
              <w:t xml:space="preserve">0.14712</w:t>
            </w:r>
          </w:p>
        </w:tc>
      </w:tr>
      <w:tr>
        <w:tc>
          <w:tcPr/>
          <w:p>
            <w:pPr>
              <w:pStyle w:val="Compact"/>
              <w:jc w:val="left"/>
            </w:pPr>
            <w:r>
              <w:rPr>
                <w:lang w:val="en-US"/>
              </w:rPr>
              <w:t xml:space="preserve">Centered,</w:t>
            </w:r>
            <w:r>
              <w:rPr>
                <w:lang w:val="en-US"/>
              </w:rPr>
              <w:t xml:space="preserve"> </w:t>
            </w:r>
            <m:oMath>
              <m:r>
                <m:rPr>
                  <m:sty m:val="p"/>
                </m:rPr>
                <m:t>|</m:t>
              </m:r>
              <m:r>
                <m:t>d</m:t>
              </m:r>
              <m:r>
                <m:rPr>
                  <m:sty m:val="p"/>
                </m:rPr>
                <m:t>|</m:t>
              </m:r>
              <m:r>
                <m:rPr>
                  <m:sty m:val="p"/>
                </m:rPr>
                <m:t>=</m:t>
              </m:r>
              <m:r>
                <m:t>2.0</m:t>
              </m:r>
            </m:oMath>
            <w:r>
              <w:rPr>
                <w:lang w:val="en-US"/>
              </w:rPr>
              <w:t xml:space="preserve"> </w:t>
            </w:r>
            <w:r>
              <w:rPr>
                <w:lang w:val="en-US"/>
              </w:rPr>
              <w:t xml:space="preserve">pp</w:t>
            </w:r>
          </w:p>
        </w:tc>
        <w:tc>
          <w:tcPr/>
          <w:p>
            <w:pPr>
              <w:pStyle w:val="Compact"/>
              <w:jc w:val="right"/>
            </w:pPr>
            <w:r>
              <w:rPr>
                <w:lang w:val="en-US"/>
              </w:rPr>
              <w:t xml:space="preserve">208 (0)</w:t>
            </w:r>
          </w:p>
        </w:tc>
        <w:tc>
          <w:tcPr/>
          <w:p>
            <w:pPr>
              <w:pStyle w:val="Compact"/>
              <w:jc w:val="right"/>
            </w:pPr>
            <w:r>
              <w:rPr>
                <w:lang w:val="en-US"/>
              </w:rPr>
              <w:t xml:space="preserve">0.00053754</w:t>
            </w:r>
          </w:p>
        </w:tc>
        <w:tc>
          <w:tcPr/>
          <w:p>
            <w:pPr>
              <w:pStyle w:val="Compact"/>
              <w:jc w:val="right"/>
            </w:pPr>
            <w:r>
              <w:rPr>
                <w:lang w:val="en-US"/>
              </w:rPr>
              <w:t xml:space="preserve">0.425464</w:t>
            </w:r>
          </w:p>
        </w:tc>
        <w:tc>
          <w:tcPr/>
          <w:p>
            <w:pPr>
              <w:pStyle w:val="Compact"/>
              <w:jc w:val="right"/>
            </w:pPr>
            <w:r>
              <w:rPr>
                <w:lang w:val="en-US"/>
              </w:rPr>
              <w:t xml:space="preserve">1.23552</w:t>
            </w:r>
          </w:p>
        </w:tc>
      </w:tr>
      <w:tr>
        <w:tc>
          <w:tcPr/>
          <w:p>
            <w:pPr>
              <w:pStyle w:val="Compact"/>
              <w:jc w:val="left"/>
            </w:pPr>
            <w:r>
              <w:rPr>
                <w:lang w:val="en-US"/>
              </w:rPr>
              <w:t xml:space="preserve">Offset magnitude</w:t>
            </w:r>
            <w:r>
              <w:rPr>
                <w:lang w:val="en-US"/>
              </w:rPr>
              <w:t xml:space="preserve"> </w:t>
            </w:r>
            <m:oMath>
              <m:r>
                <m:t>0</m:t>
              </m:r>
            </m:oMath>
            <w:r>
              <w:rPr>
                <w:lang w:val="en-US"/>
              </w:rPr>
              <w:t xml:space="preserve"> </w:t>
            </w:r>
            <w:r>
              <w:rPr>
                <w:lang w:val="en-US"/>
              </w:rPr>
              <w:t xml:space="preserve">vol pp</w:t>
            </w:r>
          </w:p>
        </w:tc>
        <w:tc>
          <w:tcPr/>
          <w:p>
            <w:pPr>
              <w:pStyle w:val="Compact"/>
              <w:jc w:val="right"/>
            </w:pPr>
            <w:r>
              <w:rPr>
                <w:lang w:val="en-US"/>
              </w:rPr>
              <w:t xml:space="preserve">624 (0)</w:t>
            </w:r>
          </w:p>
        </w:tc>
        <w:tc>
          <w:tcPr/>
          <w:p>
            <w:pPr>
              <w:pStyle w:val="Compact"/>
              <w:jc w:val="right"/>
            </w:pPr>
            <w:r>
              <w:rPr>
                <w:lang w:val="en-US"/>
              </w:rPr>
              <w:t xml:space="preserve">0.00007858</w:t>
            </w:r>
          </w:p>
        </w:tc>
        <w:tc>
          <w:tcPr/>
          <w:p>
            <w:pPr>
              <w:pStyle w:val="Compact"/>
              <w:jc w:val="right"/>
            </w:pPr>
            <w:r>
              <w:rPr>
                <w:lang w:val="en-US"/>
              </w:rPr>
              <w:t xml:space="preserve">0.087203</w:t>
            </w:r>
          </w:p>
        </w:tc>
        <w:tc>
          <w:tcPr/>
          <w:p>
            <w:pPr>
              <w:pStyle w:val="Compact"/>
              <w:jc w:val="right"/>
            </w:pPr>
            <w:r>
              <w:rPr>
                <w:lang w:val="en-US"/>
              </w:rPr>
              <w:t xml:space="preserve">1.23552</w:t>
            </w:r>
          </w:p>
        </w:tc>
      </w:tr>
      <w:tr>
        <w:tc>
          <w:tcPr/>
          <w:p>
            <w:pPr>
              <w:pStyle w:val="Compact"/>
              <w:jc w:val="left"/>
            </w:pPr>
            <w:r>
              <w:rPr>
                <w:lang w:val="en-US"/>
              </w:rPr>
              <w:t xml:space="preserve">Offsets</w:t>
            </w:r>
            <w:r>
              <w:rPr>
                <w:lang w:val="en-US"/>
              </w:rPr>
              <w:t xml:space="preserve"> </w:t>
            </w:r>
            <m:oMath>
              <m:r>
                <m:rPr>
                  <m:sty m:val="p"/>
                </m:rPr>
                <m:t>±</m:t>
              </m:r>
              <m:r>
                <m:t>1</m:t>
              </m:r>
            </m:oMath>
            <w:r>
              <w:rPr>
                <w:lang w:val="en-US"/>
              </w:rPr>
              <w:t xml:space="preserve"> </w:t>
            </w:r>
            <w:r>
              <w:rPr>
                <w:lang w:val="en-US"/>
              </w:rPr>
              <w:t xml:space="preserve">vol pp</w:t>
            </w:r>
          </w:p>
        </w:tc>
        <w:tc>
          <w:tcPr/>
          <w:p>
            <w:pPr>
              <w:pStyle w:val="Compact"/>
              <w:jc w:val="right"/>
            </w:pPr>
            <w:r>
              <w:rPr>
                <w:lang w:val="en-US"/>
              </w:rPr>
              <w:t xml:space="preserve">1,248 (0)</w:t>
            </w:r>
          </w:p>
        </w:tc>
        <w:tc>
          <w:tcPr/>
          <w:p>
            <w:pPr>
              <w:pStyle w:val="Compact"/>
              <w:jc w:val="right"/>
            </w:pPr>
            <w:r>
              <w:rPr>
                <w:lang w:val="en-US"/>
              </w:rPr>
              <w:t xml:space="preserve">0.042381</w:t>
            </w:r>
          </w:p>
        </w:tc>
        <w:tc>
          <w:tcPr/>
          <w:p>
            <w:pPr>
              <w:pStyle w:val="Compact"/>
              <w:jc w:val="right"/>
            </w:pPr>
            <w:r>
              <w:rPr>
                <w:lang w:val="en-US"/>
              </w:rPr>
              <w:t xml:space="preserve">1.476687</w:t>
            </w:r>
          </w:p>
        </w:tc>
        <w:tc>
          <w:tcPr/>
          <w:p>
            <w:pPr>
              <w:pStyle w:val="Compact"/>
              <w:jc w:val="right"/>
            </w:pPr>
            <w:r>
              <w:rPr>
                <w:lang w:val="en-US"/>
              </w:rPr>
              <w:t xml:space="preserve">32.55475</w:t>
            </w:r>
          </w:p>
        </w:tc>
      </w:tr>
      <w:tr>
        <w:tc>
          <w:tcPr/>
          <w:p>
            <w:pPr>
              <w:pStyle w:val="Compact"/>
              <w:jc w:val="left"/>
            </w:pPr>
            <w:r>
              <w:rPr>
                <w:lang w:val="en-US"/>
              </w:rPr>
              <w:t xml:space="preserve">Offsets</w:t>
            </w:r>
            <w:r>
              <w:rPr>
                <w:lang w:val="en-US"/>
              </w:rPr>
              <w:t xml:space="preserve"> </w:t>
            </w:r>
            <m:oMath>
              <m:r>
                <m:rPr>
                  <m:sty m:val="p"/>
                </m:rPr>
                <m:t>±</m:t>
              </m:r>
              <m:r>
                <m:t>2</m:t>
              </m:r>
            </m:oMath>
            <w:r>
              <w:rPr>
                <w:lang w:val="en-US"/>
              </w:rPr>
              <w:t xml:space="preserve"> </w:t>
            </w:r>
            <w:r>
              <w:rPr>
                <w:lang w:val="en-US"/>
              </w:rPr>
              <w:t xml:space="preserve">vol pp</w:t>
            </w:r>
          </w:p>
        </w:tc>
        <w:tc>
          <w:tcPr/>
          <w:p>
            <w:pPr>
              <w:pStyle w:val="Compact"/>
              <w:jc w:val="right"/>
            </w:pPr>
            <w:r>
              <w:rPr>
                <w:lang w:val="en-US"/>
              </w:rPr>
              <w:t xml:space="preserve">1,248 (0)</w:t>
            </w:r>
          </w:p>
        </w:tc>
        <w:tc>
          <w:tcPr/>
          <w:p>
            <w:pPr>
              <w:pStyle w:val="Compact"/>
              <w:jc w:val="right"/>
            </w:pPr>
            <w:r>
              <w:rPr>
                <w:lang w:val="en-US"/>
              </w:rPr>
              <w:t xml:space="preserve">0.082799</w:t>
            </w:r>
          </w:p>
        </w:tc>
        <w:tc>
          <w:tcPr/>
          <w:p>
            <w:pPr>
              <w:pStyle w:val="Compact"/>
              <w:jc w:val="right"/>
            </w:pPr>
            <w:r>
              <w:rPr>
                <w:lang w:val="en-US"/>
              </w:rPr>
              <w:t xml:space="preserve">5.183761</w:t>
            </w:r>
          </w:p>
        </w:tc>
        <w:tc>
          <w:tcPr/>
          <w:p>
            <w:pPr>
              <w:pStyle w:val="Compact"/>
              <w:jc w:val="right"/>
            </w:pPr>
            <w:r>
              <w:rPr>
                <w:lang w:val="en-US"/>
              </w:rPr>
              <w:t xml:space="preserve">945.28285</w:t>
            </w:r>
          </w:p>
        </w:tc>
      </w:tr>
      <w:tr>
        <w:tc>
          <w:tcPr/>
          <w:p>
            <w:pPr>
              <w:pStyle w:val="Compact"/>
              <w:jc w:val="left"/>
            </w:pPr>
            <w:r>
              <w:rPr>
                <w:lang w:val="en-US"/>
              </w:rPr>
              <w:t xml:space="preserve">Offsets</w:t>
            </w:r>
            <w:r>
              <w:rPr>
                <w:lang w:val="en-US"/>
              </w:rPr>
              <w:t xml:space="preserve"> </w:t>
            </w:r>
            <m:oMath>
              <m:r>
                <m:rPr>
                  <m:sty m:val="p"/>
                </m:rPr>
                <m:t>±</m:t>
              </m:r>
              <m:r>
                <m:t>5</m:t>
              </m:r>
            </m:oMath>
            <w:r>
              <w:rPr>
                <w:lang w:val="en-US"/>
              </w:rPr>
              <w:t xml:space="preserve"> </w:t>
            </w:r>
            <w:r>
              <w:rPr>
                <w:lang w:val="en-US"/>
              </w:rPr>
              <w:t xml:space="preserve">vol pp</w:t>
            </w:r>
          </w:p>
        </w:tc>
        <w:tc>
          <w:tcPr/>
          <w:p>
            <w:pPr>
              <w:pStyle w:val="Compact"/>
              <w:jc w:val="right"/>
            </w:pPr>
            <w:r>
              <w:rPr>
                <w:lang w:val="en-US"/>
              </w:rPr>
              <w:t xml:space="preserve">1,248 (0)</w:t>
            </w:r>
          </w:p>
        </w:tc>
        <w:tc>
          <w:tcPr/>
          <w:p>
            <w:pPr>
              <w:pStyle w:val="Compact"/>
              <w:jc w:val="right"/>
            </w:pPr>
            <w:r>
              <w:rPr>
                <w:lang w:val="en-US"/>
              </w:rPr>
              <w:t xml:space="preserve">0.222381</w:t>
            </w:r>
          </w:p>
        </w:tc>
        <w:tc>
          <w:tcPr/>
          <w:p>
            <w:pPr>
              <w:pStyle w:val="Compact"/>
              <w:jc w:val="right"/>
            </w:pPr>
            <w:r>
              <w:rPr>
                <w:lang w:val="en-US"/>
              </w:rPr>
              <w:t xml:space="preserve">857.846918</w:t>
            </w:r>
          </w:p>
        </w:tc>
        <w:tc>
          <w:tcPr/>
          <w:p>
            <w:pPr>
              <w:pStyle w:val="Compact"/>
              <w:jc w:val="right"/>
            </w:pPr>
            <m:oMath>
              <m:r>
                <m:t>4.6234</m:t>
              </m:r>
              <m:r>
                <m:rPr>
                  <m:sty m:val="p"/>
                </m:rPr>
                <m:t>×</m:t>
              </m:r>
              <m:sSup>
                <m:e>
                  <m:r>
                    <m:t>10</m:t>
                  </m:r>
                </m:e>
                <m:sup>
                  <m:r>
                    <m:t>13</m:t>
                  </m:r>
                </m:sup>
              </m:sSup>
            </m:oMath>
            <w:r>
              <w:rPr>
                <w:lang w:val="en-US"/>
              </w:rPr>
              <w:t xml:space="preserve">​</w:t>
            </w:r>
          </w:p>
        </w:tc>
      </w:tr>
      <w:tr>
        <w:tc>
          <w:tcPr/>
          <w:p>
            <w:pPr>
              <w:pStyle w:val="Compact"/>
              <w:jc w:val="left"/>
            </w:pPr>
            <w:r>
              <w:rPr>
                <w:lang w:val="en-US"/>
              </w:rPr>
              <w:t xml:space="preserve">Offsets</w:t>
            </w:r>
            <w:r>
              <w:rPr>
                <w:lang w:val="en-US"/>
              </w:rPr>
              <w:t xml:space="preserve"> </w:t>
            </w:r>
            <m:oMath>
              <m:r>
                <m:rPr>
                  <m:sty m:val="p"/>
                </m:rPr>
                <m:t>±</m:t>
              </m:r>
              <m:r>
                <m:t>10</m:t>
              </m:r>
            </m:oMath>
            <w:r>
              <w:rPr>
                <w:lang w:val="en-US"/>
              </w:rPr>
              <w:t xml:space="preserve"> </w:t>
            </w:r>
            <w:r>
              <w:rPr>
                <w:lang w:val="en-US"/>
              </w:rPr>
              <w:t xml:space="preserve">vol pp</w:t>
            </w:r>
          </w:p>
        </w:tc>
        <w:tc>
          <w:tcPr/>
          <w:p>
            <w:pPr>
              <w:pStyle w:val="Compact"/>
              <w:jc w:val="right"/>
            </w:pPr>
            <w:r>
              <w:rPr>
                <w:lang w:val="en-US"/>
              </w:rPr>
              <w:t xml:space="preserve">1,080 (168)</w:t>
            </w:r>
          </w:p>
        </w:tc>
        <w:tc>
          <w:tcPr/>
          <w:p>
            <w:pPr>
              <w:pStyle w:val="Compact"/>
              <w:jc w:val="right"/>
            </w:pPr>
            <w:r>
              <w:rPr>
                <w:lang w:val="en-US"/>
              </w:rPr>
              <w:t xml:space="preserve">0.301074</w:t>
            </w:r>
          </w:p>
        </w:tc>
        <w:tc>
          <w:tcPr/>
          <w:p>
            <w:pPr>
              <w:pStyle w:val="Compact"/>
              <w:jc w:val="right"/>
            </w:pPr>
            <w:r>
              <w:rPr>
                <w:lang w:val="en-US"/>
              </w:rPr>
              <w:t xml:space="preserve">1,185.613325</w:t>
            </w:r>
          </w:p>
        </w:tc>
        <w:tc>
          <w:tcPr/>
          <w:p>
            <w:pPr>
              <w:pStyle w:val="Compact"/>
              <w:jc w:val="right"/>
            </w:pPr>
            <m:oMath>
              <m:r>
                <m:t>1.5828</m:t>
              </m:r>
              <m:r>
                <m:rPr>
                  <m:sty m:val="p"/>
                </m:rPr>
                <m:t>×</m:t>
              </m:r>
              <m:sSup>
                <m:e>
                  <m:r>
                    <m:t>10</m:t>
                  </m:r>
                </m:e>
                <m:sup>
                  <m:r>
                    <m:t>10</m:t>
                  </m:r>
                </m:sup>
              </m:sSup>
            </m:oMath>
            <w:r>
              <w:rPr>
                <w:lang w:val="en-US"/>
              </w:rPr>
              <w:t xml:space="preserve">​</w:t>
            </w:r>
          </w:p>
        </w:tc>
      </w:tr>
    </w:tbl>
    <w:p>
      <w:pPr>
        <w:pStyle w:val="BodyText"/>
      </w:pPr>
      <w:r>
        <w:rPr>
          <w:i/>
          <w:iCs/>
          <w:lang w:val="en-US"/>
        </w:rPr>
        <w:t xml:space="preserve">Notes:</w:t>
      </w:r>
      <w:r>
        <w:rPr>
          <w:lang w:val="en-US"/>
        </w:rPr>
        <w:t xml:space="preserve"> </w:t>
      </w:r>
      <w:r>
        <w:rPr>
          <w:lang w:val="en-US"/>
        </w:rPr>
        <w:t xml:space="preserve">Centered rows contain 208 cells per spread among the 624 cells that pass the baseline absolute-vega guard. Offset rows use those same 624 base cells, evaluating both signs for each nonzero offset; nonpositive reference volatilities are skipped. The p95 is nearest-rank. Offset errors use the project’s integrated-vega residual divided by point vega at the shifted reference; very large maxima arise when this denominator is small and should not be read as market-scale errors. The offset experiment is a deterministic stress test, not a calibration of an independent reference-volatility source.</w:t>
      </w:r>
    </w:p>
    <w:p>
      <w:pPr>
        <w:pStyle w:val="BodyText"/>
      </w:pPr>
      <w:r>
        <w:rPr>
          <w:lang w:val="en-US"/>
        </w:rPr>
        <w:t xml:space="preserve">Normalized midpoint vega is constant across the six spread cells for each non-spread configuration in this design. Among the 120 unique configurations, 16 fail the absolute guard; each contributes six cells. Their normalized midpoint vega has median</w:t>
      </w:r>
      <w:r>
        <w:rPr>
          <w:lang w:val="en-US"/>
        </w:rPr>
        <w:t xml:space="preserve"> </w:t>
      </w:r>
      <m:oMath>
        <m:r>
          <m:t>1.40</m:t>
        </m:r>
        <m:r>
          <m:rPr>
            <m:sty m:val="p"/>
          </m:rPr>
          <m:t>×</m:t>
        </m:r>
        <m:sSup>
          <m:e>
            <m:r>
              <m:t>10</m:t>
            </m:r>
          </m:e>
          <m:sup>
            <m:r>
              <m:rPr>
                <m:sty m:val="p"/>
              </m:rPr>
              <m:t>−</m:t>
            </m:r>
            <m:r>
              <m:t>14</m:t>
            </m:r>
          </m:sup>
        </m:sSup>
      </m:oMath>
      <w:r>
        <w:rPr>
          <w:lang w:val="en-US"/>
        </w:rPr>
        <w:t xml:space="preserve"> </w:t>
      </w:r>
      <w:r>
        <w:rPr>
          <w:lang w:val="en-US"/>
        </w:rPr>
        <w:t xml:space="preserve">and maximum</w:t>
      </w:r>
      <w:r>
        <w:rPr>
          <w:lang w:val="en-US"/>
        </w:rPr>
        <w:t xml:space="preserve"> </w:t>
      </w:r>
      <m:oMath>
        <m:r>
          <m:t>1.72</m:t>
        </m:r>
        <m:r>
          <m:rPr>
            <m:sty m:val="p"/>
          </m:rPr>
          <m:t>×</m:t>
        </m:r>
        <m:sSup>
          <m:e>
            <m:r>
              <m:t>10</m:t>
            </m:r>
          </m:e>
          <m:sup>
            <m:r>
              <m:rPr>
                <m:sty m:val="p"/>
              </m:rPr>
              <m:t>−</m:t>
            </m:r>
            <m:r>
              <m:t>10</m:t>
            </m:r>
          </m:sup>
        </m:sSup>
      </m:oMath>
      <w:r>
        <w:rPr>
          <w:lang w:val="en-US"/>
        </w:rPr>
        <w:t xml:space="preserve"> </w:t>
      </w:r>
      <w:r>
        <w:rPr>
          <w:lang w:val="en-US"/>
        </w:rPr>
        <w:t xml:space="preserve">per decimal-IV unit. The minimum among the 104 configurations that pass is</w:t>
      </w:r>
      <w:r>
        <w:rPr>
          <w:lang w:val="en-US"/>
        </w:rPr>
        <w:t xml:space="preserve"> </w:t>
      </w:r>
      <m:oMath>
        <m:r>
          <m:t>7.30</m:t>
        </m:r>
        <m:r>
          <m:rPr>
            <m:sty m:val="p"/>
          </m:rPr>
          <m:t>×</m:t>
        </m:r>
        <m:sSup>
          <m:e>
            <m:r>
              <m:t>10</m:t>
            </m:r>
          </m:e>
          <m:sup>
            <m:r>
              <m:rPr>
                <m:sty m:val="p"/>
              </m:rPr>
              <m:t>−</m:t>
            </m:r>
            <m:r>
              <m:t>6</m:t>
            </m:r>
          </m:sup>
        </m:sSup>
      </m:oMath>
      <w:r>
        <w:rPr>
          <w:lang w:val="en-US"/>
        </w:rPr>
        <w:t xml:space="preserve">, about</w:t>
      </w:r>
      <w:r>
        <w:rPr>
          <w:lang w:val="en-US"/>
        </w:rPr>
        <w:t xml:space="preserve"> </w:t>
      </w:r>
      <m:oMath>
        <m:r>
          <m:t>4.23</m:t>
        </m:r>
        <m:r>
          <m:rPr>
            <m:sty m:val="p"/>
          </m:rPr>
          <m:t>×</m:t>
        </m:r>
        <m:sSup>
          <m:e>
            <m:r>
              <m:t>10</m:t>
            </m:r>
          </m:e>
          <m:sup>
            <m:r>
              <m:t>4</m:t>
            </m:r>
          </m:sup>
        </m:sSup>
      </m:oMath>
      <w:r>
        <w:rPr>
          <w:lang w:val="en-US"/>
        </w:rPr>
        <w:t xml:space="preserve"> </w:t>
      </w:r>
      <w:r>
        <w:rPr>
          <w:lang w:val="en-US"/>
        </w:rPr>
        <w:t xml:space="preserve">times the maximum in the failing group (4.63 orders of magnitude). This separation describes this constructed grid only; it does not validate a normalized cutoff or establish similar separation in market data. The nominal-scale diagnostic preserves normalized vega under multiplication of prices by 0.01, 1, or 100, while the absolute guard resolves 104/120, 104/120, and 106/120 configurations, respectively. That change confirms that the baseline absolute-vega guard is scale-dependent, not a universal resolution criterion.</w:t>
      </w:r>
    </w:p>
    <w:bookmarkStart w:id="26" w:name="fig-local-error"/>
    <w:p>
      <w:pPr>
        <w:pStyle w:val="CaptionedFigure"/>
      </w:pPr>
      <w:r>
        <w:drawing>
          <wp:inline>
            <wp:extent cx="5270500" cy="3288431"/>
            <wp:effectExtent b="0" l="0" r="0" t="0"/>
            <wp:docPr descr="Log-log synthetic diagnostic of local-approximation error against absolute CPIV spread, with a cubic-scaling reference. Points summarize the median and nearest-rank p95 across equally weighted guard-passing cells." title="" id="24" name="Picture"/>
            <a:graphic>
              <a:graphicData uri="http://schemas.openxmlformats.org/drawingml/2006/picture">
                <pic:pic>
                  <pic:nvPicPr>
                    <pic:cNvPr descr="research/cpiv/generated/cpiv_methods_note_reproduction_2026-10-12_v2/local_approximation_error.png" id="25" name="Picture"/>
                    <pic:cNvPicPr>
                      <a:picLocks noChangeArrowheads="1" noChangeAspect="1"/>
                    </pic:cNvPicPr>
                  </pic:nvPicPr>
                  <pic:blipFill>
                    <a:blip r:embed="rId23"/>
                    <a:stretch>
                      <a:fillRect/>
                    </a:stretch>
                  </pic:blipFill>
                  <pic:spPr bwMode="auto">
                    <a:xfrm>
                      <a:off x="0" y="0"/>
                      <a:ext cx="5270500" cy="3288431"/>
                    </a:xfrm>
                    <a:prstGeom prst="rect">
                      <a:avLst/>
                    </a:prstGeom>
                    <a:noFill/>
                    <a:ln w="9525">
                      <a:noFill/>
                      <a:headEnd/>
                      <a:tailEnd/>
                    </a:ln>
                  </pic:spPr>
                </pic:pic>
              </a:graphicData>
            </a:graphic>
          </wp:inline>
        </w:drawing>
      </w:r>
    </w:p>
    <w:p>
      <w:pPr>
        <w:pStyle w:val="ImageCaption"/>
      </w:pPr>
      <w:r>
        <w:rPr>
          <w:lang w:val="en-US"/>
        </w:rPr>
        <w:t xml:space="preserve">Figure 1: Log-log synthetic diagnostic of local-approximation error against absolute CPIV spread, with a cubic-scaling reference. Points summarize the median and nearest-rank p95 across equally weighted guard-passing cells.</w:t>
      </w:r>
    </w:p>
    <w:bookmarkEnd w:id="26"/>
    <w:bookmarkEnd w:id="27"/>
    <w:bookmarkStart w:id="32" w:name="american-put-scheme-comparison"/>
    <w:p>
      <w:pPr>
        <w:pStyle w:val="Heading3"/>
      </w:pPr>
      <w:r>
        <w:rPr>
          <w:lang w:val="en-US"/>
        </w:rPr>
        <w:t xml:space="preserve">7.2 American-put scheme comparison</w:t>
      </w:r>
    </w:p>
    <w:p>
      <w:pPr>
        <w:pStyle w:val="FirstParagraph"/>
      </w:pPr>
      <w:r>
        <w:rPr>
          <w:lang w:val="en-US"/>
        </w:rPr>
        <w:t xml:space="preserve">The reported statistic is a numerical CPIV generated from an exact European BSM call and a tree-priced American put. At 6,400 steps, each scheme’s change from its immediately preceding doubled grid is below the selected 0.001 pp threshold (CRR 0.000502 pp; Jarrow–Rudd 0.000169 pp). The two schemes’ CPIV values at 6,400 steps differ by 0.001086 pp (−0.264587 versus −0.265673). This is only a successive-grid change diagnostic: it is not a formal error bound, proof of convergence, or independent exact-price benchmark. A separate European-limit check, with early exercise switched off, compares each tree with the closed-form BSM put. At 6,400 steps the CRR tree differs from BSM by</w:t>
      </w:r>
      <w:r>
        <w:rPr>
          <w:lang w:val="en-US"/>
        </w:rPr>
        <w:t xml:space="preserve"> </w:t>
      </w:r>
      <m:oMath>
        <m:r>
          <m:t>8.9</m:t>
        </m:r>
        <m:r>
          <m:rPr>
            <m:sty m:val="p"/>
          </m:rPr>
          <m:t>×</m:t>
        </m:r>
        <m:sSup>
          <m:e>
            <m:r>
              <m:t>10</m:t>
            </m:r>
          </m:e>
          <m:sup>
            <m:r>
              <m:rPr>
                <m:sty m:val="p"/>
              </m:rPr>
              <m:t>−</m:t>
            </m:r>
            <m:r>
              <m:t>5</m:t>
            </m:r>
          </m:sup>
        </m:sSup>
      </m:oMath>
      <w:r>
        <w:rPr>
          <w:lang w:val="en-US"/>
        </w:rPr>
        <w:t xml:space="preserve"> </w:t>
      </w:r>
      <w:r>
        <w:rPr>
          <w:lang w:val="en-US"/>
        </w:rPr>
        <w:t xml:space="preserve">USD, so the 0.001 pp successive-change threshold does not imply</w:t>
      </w:r>
      <w:r>
        <w:rPr>
          <w:lang w:val="en-US"/>
        </w:rPr>
        <w:t xml:space="preserve"> </w:t>
      </w:r>
      <m:oMath>
        <m:sSup>
          <m:e>
            <m:r>
              <m:t>10</m:t>
            </m:r>
          </m:e>
          <m:sup>
            <m:r>
              <m:rPr>
                <m:sty m:val="p"/>
              </m:rPr>
              <m:t>−</m:t>
            </m:r>
            <m:r>
              <m:t>6</m:t>
            </m:r>
          </m:sup>
        </m:sSup>
      </m:oMath>
      <w:r>
        <w:rPr>
          <w:lang w:val="en-US"/>
        </w:rPr>
        <w:t xml:space="preserve"> </w:t>
      </w:r>
      <w:r>
        <w:rPr>
          <w:lang w:val="en-US"/>
        </w:rPr>
        <w:t xml:space="preserve">accuracy; the Leisen–Reimer tree at 6,401 steps differs by</w:t>
      </w:r>
      <w:r>
        <w:rPr>
          <w:lang w:val="en-US"/>
        </w:rPr>
        <w:t xml:space="preserve"> </w:t>
      </w:r>
      <m:oMath>
        <m:r>
          <m:t>3</m:t>
        </m:r>
        <m:r>
          <m:rPr>
            <m:sty m:val="p"/>
          </m:rPr>
          <m:t>×</m:t>
        </m:r>
        <m:sSup>
          <m:e>
            <m:r>
              <m:t>10</m:t>
            </m:r>
          </m:e>
          <m:sup>
            <m:r>
              <m:rPr>
                <m:sty m:val="p"/>
              </m:rPr>
              <m:t>−</m:t>
            </m:r>
            <m:r>
              <m:t>9</m:t>
            </m:r>
          </m:sup>
        </m:sSup>
      </m:oMath>
      <w:r>
        <w:rPr>
          <w:lang w:val="en-US"/>
        </w:rPr>
        <w:t xml:space="preserve"> </w:t>
      </w:r>
      <w:r>
        <w:rPr>
          <w:lang w:val="en-US"/>
        </w:rPr>
        <w:t xml:space="preserve">USD. These limits check the lattice implementation, not the early-exercise premium. No high-resolution American reference is claimed.</w:t>
      </w:r>
    </w:p>
    <w:p>
      <w:pPr>
        <w:pStyle w:val="BodyText"/>
      </w:pPr>
      <w:r>
        <w:rPr>
          <w:lang w:val="en-US"/>
        </w:rPr>
        <w:t xml:space="preserve">Table 2 lists the tree prices and implied-CPIV values across step counts, while Figure 2 visualizes their successive-grid changes. Table 2 shows one synthetic case as a numerical sensitivity check, not an independent American-option benchmark. Across the four scenarios in Appendix Table C2, the range of finest-grid CPIVs across CRR, Jarrow–Rudd and Leisen–Reimer is 0.0008 pp (zero-rate control), 0.0011 pp (ATM, 30 days), and 0.0009 pp (OTM put, 365 days). Barone–Adesi–Whaley lies 0.04–0.05 pp from the Leisen–Reimer reference in the ATM and OTM cases; it is reported beside the range, not in it. The deep in-the-money case shows zero spread only because every method returns intrinsic value.</w:t>
      </w:r>
    </w:p>
    <w:p>
      <w:pPr>
        <w:pStyle w:val="BodyText"/>
      </w:pPr>
      <w:r>
        <w:rPr>
          <w:b/>
          <w:bCs/>
          <w:lang w:val="en-US"/>
        </w:rPr>
        <w:t xml:space="preserve">Table 2.</w:t>
      </w:r>
      <w:r>
        <w:rPr>
          <w:lang w:val="en-US"/>
        </w:rPr>
        <w:t xml:space="preserve"> </w:t>
      </w:r>
      <w:r>
        <w:rPr>
          <w:lang w:val="en-US"/>
        </w:rPr>
        <w:t xml:space="preserve">Tree-price and implied-CPIV outputs for one synthetic American-put scenario; change threshold is 0.001 pp between adjacent doubled grids. Appendix Table C2 gives the scenario envelope.</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lang w:val="en-US"/>
              </w:rPr>
              <w:t xml:space="preserve">Steps</w:t>
            </w:r>
          </w:p>
        </w:tc>
        <w:tc>
          <w:tcPr/>
          <w:p>
            <w:pPr>
              <w:pStyle w:val="Compact"/>
              <w:jc w:val="right"/>
            </w:pPr>
            <w:r>
              <w:rPr>
                <w:lang w:val="en-US"/>
              </w:rPr>
              <w:t xml:space="preserve">CRR put</w:t>
            </w:r>
          </w:p>
        </w:tc>
        <w:tc>
          <w:tcPr/>
          <w:p>
            <w:pPr>
              <w:pStyle w:val="Compact"/>
              <w:jc w:val="right"/>
            </w:pPr>
            <w:r>
              <w:rPr>
                <w:lang w:val="en-US"/>
              </w:rPr>
              <w:t xml:space="preserve">CRR CPIV (pp)</w:t>
            </w:r>
          </w:p>
        </w:tc>
        <w:tc>
          <w:tcPr/>
          <w:p>
            <w:pPr>
              <w:pStyle w:val="Compact"/>
              <w:jc w:val="right"/>
            </w:pPr>
            <w:r>
              <w:rPr>
                <w:lang w:val="en-US"/>
              </w:rPr>
              <w:t xml:space="preserve">Jarrow–Rudd put</w:t>
            </w:r>
          </w:p>
        </w:tc>
        <w:tc>
          <w:tcPr/>
          <w:p>
            <w:pPr>
              <w:pStyle w:val="Compact"/>
              <w:jc w:val="right"/>
            </w:pPr>
            <w:r>
              <w:rPr>
                <w:lang w:val="en-US"/>
              </w:rPr>
              <w:t xml:space="preserve">Jarrow–Rudd CPIV (pp)</w:t>
            </w:r>
          </w:p>
        </w:tc>
      </w:tr>
      <w:tr>
        <w:tc>
          <w:tcPr/>
          <w:p>
            <w:pPr>
              <w:pStyle w:val="Compact"/>
              <w:jc w:val="right"/>
            </w:pPr>
            <w:r>
              <w:rPr>
                <w:lang w:val="en-US"/>
              </w:rPr>
              <w:t xml:space="preserve">400</w:t>
            </w:r>
          </w:p>
        </w:tc>
        <w:tc>
          <w:tcPr/>
          <w:p>
            <w:pPr>
              <w:pStyle w:val="Compact"/>
              <w:jc w:val="right"/>
            </w:pPr>
            <w:r>
              <w:rPr>
                <w:lang w:val="en-US"/>
              </w:rPr>
              <w:t xml:space="preserve">2.112510</w:t>
            </w:r>
          </w:p>
        </w:tc>
        <w:tc>
          <w:tcPr/>
          <w:p>
            <w:pPr>
              <w:pStyle w:val="Compact"/>
              <w:jc w:val="right"/>
            </w:pPr>
            <w:r>
              <w:rPr>
                <w:lang w:val="en-US"/>
              </w:rPr>
              <w:t xml:space="preserve">−0.257018</w:t>
            </w:r>
          </w:p>
        </w:tc>
        <w:tc>
          <w:tcPr/>
          <w:p>
            <w:pPr>
              <w:pStyle w:val="Compact"/>
              <w:jc w:val="right"/>
            </w:pPr>
            <w:r>
              <w:rPr>
                <w:lang w:val="en-US"/>
              </w:rPr>
              <w:t xml:space="preserve">2.114871</w:t>
            </w:r>
          </w:p>
        </w:tc>
        <w:tc>
          <w:tcPr/>
          <w:p>
            <w:pPr>
              <w:pStyle w:val="Compact"/>
              <w:jc w:val="right"/>
            </w:pPr>
            <w:r>
              <w:rPr>
                <w:lang w:val="en-US"/>
              </w:rPr>
              <w:t xml:space="preserve">−0.277758</w:t>
            </w:r>
          </w:p>
        </w:tc>
      </w:tr>
      <w:tr>
        <w:tc>
          <w:tcPr/>
          <w:p>
            <w:pPr>
              <w:pStyle w:val="Compact"/>
              <w:jc w:val="right"/>
            </w:pPr>
            <w:r>
              <w:rPr>
                <w:lang w:val="en-US"/>
              </w:rPr>
              <w:t xml:space="preserve">800</w:t>
            </w:r>
          </w:p>
        </w:tc>
        <w:tc>
          <w:tcPr/>
          <w:p>
            <w:pPr>
              <w:pStyle w:val="Compact"/>
              <w:jc w:val="right"/>
            </w:pPr>
            <w:r>
              <w:rPr>
                <w:lang w:val="en-US"/>
              </w:rPr>
              <w:t xml:space="preserve">2.112971</w:t>
            </w:r>
          </w:p>
        </w:tc>
        <w:tc>
          <w:tcPr/>
          <w:p>
            <w:pPr>
              <w:pStyle w:val="Compact"/>
              <w:jc w:val="right"/>
            </w:pPr>
            <w:r>
              <w:rPr>
                <w:lang w:val="en-US"/>
              </w:rPr>
              <w:t xml:space="preserve">−0.261065</w:t>
            </w:r>
          </w:p>
        </w:tc>
        <w:tc>
          <w:tcPr/>
          <w:p>
            <w:pPr>
              <w:pStyle w:val="Compact"/>
              <w:jc w:val="right"/>
            </w:pPr>
            <w:r>
              <w:rPr>
                <w:lang w:val="en-US"/>
              </w:rPr>
              <w:t xml:space="preserve">2.114140</w:t>
            </w:r>
          </w:p>
        </w:tc>
        <w:tc>
          <w:tcPr/>
          <w:p>
            <w:pPr>
              <w:pStyle w:val="Compact"/>
              <w:jc w:val="right"/>
            </w:pPr>
            <w:r>
              <w:rPr>
                <w:lang w:val="en-US"/>
              </w:rPr>
              <w:t xml:space="preserve">−0.271341</w:t>
            </w:r>
          </w:p>
        </w:tc>
      </w:tr>
      <w:tr>
        <w:tc>
          <w:tcPr/>
          <w:p>
            <w:pPr>
              <w:pStyle w:val="Compact"/>
              <w:jc w:val="right"/>
            </w:pPr>
            <w:r>
              <w:rPr>
                <w:lang w:val="en-US"/>
              </w:rPr>
              <w:t xml:space="preserve">1,600</w:t>
            </w:r>
          </w:p>
        </w:tc>
        <w:tc>
          <w:tcPr/>
          <w:p>
            <w:pPr>
              <w:pStyle w:val="Compact"/>
              <w:jc w:val="right"/>
            </w:pPr>
            <w:r>
              <w:rPr>
                <w:lang w:val="en-US"/>
              </w:rPr>
              <w:t xml:space="preserve">2.113200</w:t>
            </w:r>
          </w:p>
        </w:tc>
        <w:tc>
          <w:tcPr/>
          <w:p>
            <w:pPr>
              <w:pStyle w:val="Compact"/>
              <w:jc w:val="right"/>
            </w:pPr>
            <w:r>
              <w:rPr>
                <w:lang w:val="en-US"/>
              </w:rPr>
              <w:t xml:space="preserve">−0.263082</w:t>
            </w:r>
          </w:p>
        </w:tc>
        <w:tc>
          <w:tcPr/>
          <w:p>
            <w:pPr>
              <w:pStyle w:val="Compact"/>
              <w:jc w:val="right"/>
            </w:pPr>
            <w:r>
              <w:rPr>
                <w:lang w:val="en-US"/>
              </w:rPr>
              <w:t xml:space="preserve">2.113498</w:t>
            </w:r>
          </w:p>
        </w:tc>
        <w:tc>
          <w:tcPr/>
          <w:p>
            <w:pPr>
              <w:pStyle w:val="Compact"/>
              <w:jc w:val="right"/>
            </w:pPr>
            <w:r>
              <w:rPr>
                <w:lang w:val="en-US"/>
              </w:rPr>
              <w:t xml:space="preserve">−0.265699</w:t>
            </w:r>
          </w:p>
        </w:tc>
      </w:tr>
      <w:tr>
        <w:tc>
          <w:tcPr/>
          <w:p>
            <w:pPr>
              <w:pStyle w:val="Compact"/>
              <w:jc w:val="right"/>
            </w:pPr>
            <w:r>
              <w:rPr>
                <w:lang w:val="en-US"/>
              </w:rPr>
              <w:t xml:space="preserve">3,200</w:t>
            </w:r>
          </w:p>
        </w:tc>
        <w:tc>
          <w:tcPr/>
          <w:p>
            <w:pPr>
              <w:pStyle w:val="Compact"/>
              <w:jc w:val="right"/>
            </w:pPr>
            <w:r>
              <w:rPr>
                <w:lang w:val="en-US"/>
              </w:rPr>
              <w:t xml:space="preserve">2.113315</w:t>
            </w:r>
          </w:p>
        </w:tc>
        <w:tc>
          <w:tcPr/>
          <w:p>
            <w:pPr>
              <w:pStyle w:val="Compact"/>
              <w:jc w:val="right"/>
            </w:pPr>
            <w:r>
              <w:rPr>
                <w:lang w:val="en-US"/>
              </w:rPr>
              <w:t xml:space="preserve">−0.264085</w:t>
            </w:r>
          </w:p>
        </w:tc>
        <w:tc>
          <w:tcPr/>
          <w:p>
            <w:pPr>
              <w:pStyle w:val="Compact"/>
              <w:jc w:val="right"/>
            </w:pPr>
            <w:r>
              <w:rPr>
                <w:lang w:val="en-US"/>
              </w:rPr>
              <w:t xml:space="preserve">2.113515</w:t>
            </w:r>
          </w:p>
        </w:tc>
        <w:tc>
          <w:tcPr/>
          <w:p>
            <w:pPr>
              <w:pStyle w:val="Compact"/>
              <w:jc w:val="right"/>
            </w:pPr>
            <w:r>
              <w:rPr>
                <w:lang w:val="en-US"/>
              </w:rPr>
              <w:t xml:space="preserve">−0.265841</w:t>
            </w:r>
          </w:p>
        </w:tc>
      </w:tr>
      <w:tr>
        <w:tc>
          <w:tcPr/>
          <w:p>
            <w:pPr>
              <w:pStyle w:val="Compact"/>
              <w:jc w:val="right"/>
            </w:pPr>
            <w:r>
              <w:rPr>
                <w:lang w:val="en-US"/>
              </w:rPr>
              <w:t xml:space="preserve">6,400</w:t>
            </w:r>
          </w:p>
        </w:tc>
        <w:tc>
          <w:tcPr/>
          <w:p>
            <w:pPr>
              <w:pStyle w:val="Compact"/>
              <w:jc w:val="right"/>
            </w:pPr>
            <w:r>
              <w:rPr>
                <w:lang w:val="en-US"/>
              </w:rPr>
              <w:t xml:space="preserve">2.113372</w:t>
            </w:r>
          </w:p>
        </w:tc>
        <w:tc>
          <w:tcPr/>
          <w:p>
            <w:pPr>
              <w:pStyle w:val="Compact"/>
              <w:jc w:val="right"/>
            </w:pPr>
            <w:r>
              <w:rPr>
                <w:lang w:val="en-US"/>
              </w:rPr>
              <w:t xml:space="preserve">−0.264587</w:t>
            </w:r>
          </w:p>
        </w:tc>
        <w:tc>
          <w:tcPr/>
          <w:p>
            <w:pPr>
              <w:pStyle w:val="Compact"/>
              <w:jc w:val="right"/>
            </w:pPr>
            <w:r>
              <w:rPr>
                <w:lang w:val="en-US"/>
              </w:rPr>
              <w:t xml:space="preserve">2.113495</w:t>
            </w:r>
          </w:p>
        </w:tc>
        <w:tc>
          <w:tcPr/>
          <w:p>
            <w:pPr>
              <w:pStyle w:val="Compact"/>
              <w:jc w:val="right"/>
            </w:pPr>
            <w:r>
              <w:rPr>
                <w:lang w:val="en-US"/>
              </w:rPr>
              <w:t xml:space="preserve">−0.265673</w:t>
            </w:r>
          </w:p>
        </w:tc>
      </w:tr>
    </w:tbl>
    <w:bookmarkStart w:id="31" w:name="fig-american-convergence"/>
    <w:p>
      <w:pPr>
        <w:pStyle w:val="CaptionedFigure"/>
      </w:pPr>
      <w:r>
        <w:drawing>
          <wp:inline>
            <wp:extent cx="3952875" cy="2253003"/>
            <wp:effectExtent b="0" l="0" r="0" t="0"/>
            <wp:docPr descr="CRR and equal-probability Jarrow–Rudd American-put synthetic tree comparison." title="" id="29" name="Picture"/>
            <a:graphic>
              <a:graphicData uri="http://schemas.openxmlformats.org/drawingml/2006/picture">
                <pic:pic>
                  <pic:nvPicPr>
                    <pic:cNvPr descr="research/cpiv/generated/cpiv_methods_note_reproduction_2026-10-12_v2/american_tree_convergence.png" id="30" name="Picture"/>
                    <pic:cNvPicPr>
                      <a:picLocks noChangeArrowheads="1" noChangeAspect="1"/>
                    </pic:cNvPicPr>
                  </pic:nvPicPr>
                  <pic:blipFill>
                    <a:blip r:embed="rId28"/>
                    <a:stretch>
                      <a:fillRect/>
                    </a:stretch>
                  </pic:blipFill>
                  <pic:spPr bwMode="auto">
                    <a:xfrm>
                      <a:off x="0" y="0"/>
                      <a:ext cx="3952875" cy="2253003"/>
                    </a:xfrm>
                    <a:prstGeom prst="rect">
                      <a:avLst/>
                    </a:prstGeom>
                    <a:noFill/>
                    <a:ln w="9525">
                      <a:noFill/>
                      <a:headEnd/>
                      <a:tailEnd/>
                    </a:ln>
                  </pic:spPr>
                </pic:pic>
              </a:graphicData>
            </a:graphic>
          </wp:inline>
        </w:drawing>
      </w:r>
    </w:p>
    <w:p>
      <w:pPr>
        <w:pStyle w:val="ImageCaption"/>
      </w:pPr>
      <w:r>
        <w:rPr>
          <w:lang w:val="en-US"/>
        </w:rPr>
        <w:t xml:space="preserve">Figure 2: CRR and equal-probability Jarrow–Rudd American-put synthetic tree comparison.</w:t>
      </w:r>
    </w:p>
    <w:bookmarkEnd w:id="31"/>
    <w:bookmarkEnd w:id="32"/>
    <w:bookmarkStart w:id="33" w:name="carry-and-spot-mismatch"/>
    <w:p>
      <w:pPr>
        <w:pStyle w:val="Heading3"/>
      </w:pPr>
      <w:r>
        <w:rPr>
          <w:lang w:val="en-US"/>
        </w:rPr>
        <w:t xml:space="preserve">7.3 Carry and spot mismatch</w:t>
      </w:r>
    </w:p>
    <w:p>
      <w:pPr>
        <w:pStyle w:val="FirstParagraph"/>
      </w:pPr>
      <w:r>
        <w:rPr>
          <w:lang w:val="en-US"/>
        </w:rPr>
        <w:t xml:space="preserve">With true</w:t>
      </w:r>
      <w:r>
        <w:rPr>
          <w:lang w:val="en-US"/>
        </w:rPr>
        <w:t xml:space="preserve"> </w:t>
      </w:r>
      <m:oMath>
        <m:r>
          <m:t>q</m:t>
        </m:r>
        <m:r>
          <m:rPr>
            <m:sty m:val="p"/>
          </m:rPr>
          <m:t>=</m:t>
        </m:r>
        <m:r>
          <m:t>5</m:t>
        </m:r>
        <m:r>
          <m:rPr>
            <m:sty m:val="p"/>
          </m:rPr>
          <m:t>%</m:t>
        </m:r>
      </m:oMath>
      <w:r>
        <w:rPr>
          <w:lang w:val="en-US"/>
        </w:rPr>
        <w:t xml:space="preserve"> </w:t>
      </w:r>
      <w:r>
        <w:rPr>
          <w:lang w:val="en-US"/>
        </w:rPr>
        <w:t xml:space="preserve">and inversion at</w:t>
      </w:r>
      <w:r>
        <w:rPr>
          <w:lang w:val="en-US"/>
        </w:rPr>
        <w:t xml:space="preserve"> </w:t>
      </w:r>
      <m:oMath>
        <m:r>
          <m:t>q</m:t>
        </m:r>
        <m:r>
          <m:rPr>
            <m:sty m:val="p"/>
          </m:rPr>
          <m:t>=</m:t>
        </m:r>
        <m:r>
          <m:t>0</m:t>
        </m:r>
      </m:oMath>
      <w:r>
        <w:rPr>
          <w:lang w:val="en-US"/>
        </w:rPr>
        <w:t xml:space="preserve">, the generated CPIV is</w:t>
      </w:r>
      <w:r>
        <w:rPr>
          <w:lang w:val="en-US"/>
        </w:rPr>
        <w:t xml:space="preserve"> </w:t>
      </w:r>
      <m:oMath>
        <m:r>
          <m:rPr>
            <m:sty m:val="p"/>
          </m:rPr>
          <m:t>−</m:t>
        </m:r>
        <m:r>
          <m:t>3.58725</m:t>
        </m:r>
      </m:oMath>
      <w:r>
        <w:rPr>
          <w:lang w:val="en-US"/>
        </w:rPr>
        <w:t xml:space="preserve"> </w:t>
      </w:r>
      <w:r>
        <w:rPr>
          <w:lang w:val="en-US"/>
        </w:rPr>
        <w:t xml:space="preserve">points; at</w:t>
      </w:r>
      <w:r>
        <w:rPr>
          <w:lang w:val="en-US"/>
        </w:rPr>
        <w:t xml:space="preserve"> </w:t>
      </w:r>
      <m:oMath>
        <m:r>
          <m:t>q</m:t>
        </m:r>
        <m:r>
          <m:rPr>
            <m:sty m:val="p"/>
          </m:rPr>
          <m:t>=</m:t>
        </m:r>
        <m:r>
          <m:rPr>
            <m:sty m:val="p"/>
          </m:rPr>
          <m:t>−</m:t>
        </m:r>
        <m:r>
          <m:t>2</m:t>
        </m:r>
        <m:r>
          <m:rPr>
            <m:sty m:val="p"/>
          </m:rPr>
          <m:t>%</m:t>
        </m:r>
      </m:oMath>
      <w:r>
        <w:rPr>
          <w:lang w:val="en-US"/>
        </w:rPr>
        <w:t xml:space="preserve">, it is</w:t>
      </w:r>
      <w:r>
        <w:rPr>
          <w:lang w:val="en-US"/>
        </w:rPr>
        <w:t xml:space="preserve"> </w:t>
      </w:r>
      <m:oMath>
        <m:r>
          <m:rPr>
            <m:sty m:val="p"/>
          </m:rPr>
          <m:t>+</m:t>
        </m:r>
        <m:r>
          <m:t>1.43903</m:t>
        </m:r>
      </m:oMath>
      <w:r>
        <w:rPr>
          <w:lang w:val="en-US"/>
        </w:rPr>
        <w:t xml:space="preserve"> </w:t>
      </w:r>
      <w:r>
        <w:rPr>
          <w:lang w:val="en-US"/>
        </w:rPr>
        <w:t xml:space="preserve">points. At zero yield it is zero up to rounding. Around the correctly specified input, the proposition’s local yield-gradient predicts −3.59646 pp for the +5-point yield misspecification and +1.43962 pp for the −2-point case; these tangents are close to, but are not substituted for, the exact finite-inversion results. This demonstrates sensitivity to the effective-yield input, not an empirical relationship between CPIV and stock lending.</w:t>
      </w:r>
    </w:p>
    <w:p>
      <w:pPr>
        <w:pStyle w:val="BodyText"/>
      </w:pPr>
      <w:r>
        <w:rPr>
          <w:lang w:val="en-US"/>
        </w:rPr>
        <w:t xml:space="preserve">When quotes use spot</w:t>
      </w:r>
      <w:r>
        <w:rPr>
          <w:lang w:val="en-US"/>
        </w:rPr>
        <w:t xml:space="preserve"> </w:t>
      </w:r>
      <m:oMath>
        <m:r>
          <m:t>100</m:t>
        </m:r>
      </m:oMath>
      <w:r>
        <w:rPr>
          <w:lang w:val="en-US"/>
        </w:rPr>
        <w:t xml:space="preserve"> </w:t>
      </w:r>
      <w:r>
        <w:rPr>
          <w:lang w:val="en-US"/>
        </w:rPr>
        <w:t xml:space="preserve">and inversion uses spot</w:t>
      </w:r>
      <w:r>
        <w:rPr>
          <w:lang w:val="en-US"/>
        </w:rPr>
        <w:t xml:space="preserve"> </w:t>
      </w:r>
      <m:oMath>
        <m:r>
          <m:t>100.10</m:t>
        </m:r>
      </m:oMath>
      <w:r>
        <w:rPr>
          <w:lang w:val="en-US"/>
        </w:rPr>
        <w:t xml:space="preserve">, the synthetic CPIV is</w:t>
      </w:r>
      <w:r>
        <w:rPr>
          <w:lang w:val="en-US"/>
        </w:rPr>
        <w:t xml:space="preserve"> </w:t>
      </w:r>
      <m:oMath>
        <m:r>
          <m:rPr>
            <m:sty m:val="p"/>
          </m:rPr>
          <m:t>−</m:t>
        </m:r>
        <m:r>
          <m:t>0.87439</m:t>
        </m:r>
      </m:oMath>
      <w:r>
        <w:rPr>
          <w:lang w:val="en-US"/>
        </w:rPr>
        <w:t xml:space="preserve"> </w:t>
      </w:r>
      <w:r>
        <w:rPr>
          <w:lang w:val="en-US"/>
        </w:rPr>
        <w:t xml:space="preserve">points; using</w:t>
      </w:r>
      <w:r>
        <w:rPr>
          <w:lang w:val="en-US"/>
        </w:rPr>
        <w:t xml:space="preserve"> </w:t>
      </w:r>
      <m:oMath>
        <m:r>
          <m:t>99.90</m:t>
        </m:r>
      </m:oMath>
      <w:r>
        <w:rPr>
          <w:lang w:val="en-US"/>
        </w:rPr>
        <w:t xml:space="preserve"> </w:t>
      </w:r>
      <w:r>
        <w:rPr>
          <w:lang w:val="en-US"/>
        </w:rPr>
        <w:t xml:space="preserve">produces</w:t>
      </w:r>
      <w:r>
        <w:rPr>
          <w:lang w:val="en-US"/>
        </w:rPr>
        <w:t xml:space="preserve"> </w:t>
      </w:r>
      <m:oMath>
        <m:r>
          <m:rPr>
            <m:sty m:val="p"/>
          </m:rPr>
          <m:t>+</m:t>
        </m:r>
        <m:r>
          <m:t>0.87526</m:t>
        </m:r>
      </m:oMath>
      <w:r>
        <w:rPr>
          <w:lang w:val="en-US"/>
        </w:rPr>
        <w:t xml:space="preserve"> </w:t>
      </w:r>
      <w:r>
        <w:rPr>
          <w:lang w:val="en-US"/>
        </w:rPr>
        <w:t xml:space="preserve">points. The local spot-gradient predicts −0.87469 and +0.87469 pp, respectively. The asymmetry comes from the nonlinear BSM map. These examples reinforce that a quote timestamp and the spot timestamp belong in the data contract.</w:t>
      </w:r>
    </w:p>
    <w:bookmarkEnd w:id="33"/>
    <w:bookmarkStart w:id="34" w:name="Xbabc1a64673fd5b9cfcae7f6664f8cc1d53df1e"/>
    <w:p>
      <w:pPr>
        <w:pStyle w:val="Heading3"/>
      </w:pPr>
      <w:r>
        <w:rPr>
          <w:lang w:val="en-US"/>
        </w:rPr>
        <w:t xml:space="preserve">7.4 Quote-implied interval width and rank resolution</w:t>
      </w:r>
    </w:p>
    <w:p>
      <w:pPr>
        <w:pStyle w:val="FirstParagraph"/>
      </w:pPr>
      <w:r>
        <w:rPr>
          <w:lang w:val="en-US"/>
        </w:rPr>
        <w:t xml:space="preserve">All ten synthetic pairs have four invertible quote endpoints at each tested spread; this design contains no one-sided endpoint cases. At a USD 0.02 half-spread, median interval width is 0.700 pp, 9/10 pairs exclude zero, and 45/45 unordered pairwise intervals are strictly non-overlapping. At USD 0.10, median width is 3.499 pp, 7/10 pairs exclude zero, and 21/45 pairwise comparisons are non-overlapping. At USD 0.25, median width is 8.747 pp, 1/10 pairs excludes zero, and 1/45 comparison is non-overlapping. A non-overlap result means only that this interval rule orders that constructed pair; overlap means this rule does not resolve its order. In an application with a missing finite endpoint (for example, a zero bid at the lower pricing bound), retain the one-sided bound and count comparisons not resolved by that bound as unresolved partial-order cases; do not drop the pair. These are deterministic properties of ten constructed pairs and chosen premium bands—not statistical coverage, market rank accuracy, or evidence that any unresolved comparison is wrong.</w:t>
      </w:r>
    </w:p>
    <w:bookmarkEnd w:id="34"/>
    <w:bookmarkStart w:id="35" w:name="X47f2a5aff379011838f61945d4664cad8b7c2c2"/>
    <w:p>
      <w:pPr>
        <w:pStyle w:val="Heading3"/>
      </w:pPr>
      <w:r>
        <w:rPr>
          <w:lang w:val="en-US"/>
        </w:rPr>
        <w:t xml:space="preserve">7.5 Ranking reliability depends on signal spacing</w:t>
      </w:r>
    </w:p>
    <w:p>
      <w:pPr>
        <w:pStyle w:val="FirstParagraph"/>
      </w:pPr>
      <w:r>
        <w:rPr>
          <w:lang w:val="en-US"/>
        </w:rPr>
        <w:t xml:space="preserve">The stress test does not produce one universal “reliability” number. For ten equally spaced signals and Gaussian noise with target SD 0.50 points, mean pairwise inversion fraction is 17.6%, mean Spearman correlation is 0.797, and top/bottom membership turnover is 36.7%. For ten near-tied signals at the same noise scale, those values are 49.5%, 0.015, and 79.2%. In the 300 draws for each of these cells, no full ordering was preserved; the Wilson 95% upper bound is 1.26%, not zero probability. Near-tied sign accuracy is approximately 50%, as expected when noise dominates the prescribed signal.</w:t>
      </w:r>
    </w:p>
    <w:p>
      <w:pPr>
        <w:pStyle w:val="BodyText"/>
      </w:pPr>
      <w:r>
        <w:rPr>
          <w:b/>
          <w:bCs/>
          <w:lang w:val="en-US"/>
        </w:rPr>
        <w:t xml:space="preserve">Table 3.</w:t>
      </w:r>
      <w:r>
        <w:rPr>
          <w:lang w:val="en-US"/>
        </w:rPr>
        <w:t xml:space="preserve"> </w:t>
      </w:r>
      <w:r>
        <w:rPr>
          <w:lang w:val="en-US"/>
        </w:rPr>
        <w:t xml:space="preserve">Replicate-level means and Monte Carlo standard errors (in parentheses) for Gaussian CPIV-space noise at configured SD 0.50 pp; each cell has 300 replicates.</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lang w:val="en-US"/>
              </w:rPr>
              <w:t xml:space="preserve">Universe and prescribed signals</w:t>
            </w:r>
          </w:p>
        </w:tc>
        <w:tc>
          <w:tcPr/>
          <w:p>
            <w:pPr>
              <w:pStyle w:val="Compact"/>
              <w:jc w:val="right"/>
            </w:pPr>
            <w:r>
              <w:rPr>
                <w:lang w:val="en-US"/>
              </w:rPr>
              <w:t xml:space="preserve">Inversion fraction (MCSE)</w:t>
            </w:r>
          </w:p>
        </w:tc>
        <w:tc>
          <w:tcPr/>
          <w:p>
            <w:pPr>
              <w:pStyle w:val="Compact"/>
              <w:jc w:val="right"/>
            </w:pPr>
            <w:r>
              <w:rPr>
                <w:lang w:val="en-US"/>
              </w:rPr>
              <w:t xml:space="preserve">Spearman</w:t>
            </w:r>
            <w:r>
              <w:rPr>
                <w:lang w:val="en-US"/>
              </w:rPr>
              <w:t xml:space="preserve"> </w:t>
            </w:r>
            <m:oMath>
              <m:r>
                <m:t>ρ</m:t>
              </m:r>
            </m:oMath>
            <w:r>
              <w:rPr>
                <w:lang w:val="en-US"/>
              </w:rPr>
              <w:t xml:space="preserve"> </w:t>
            </w:r>
            <w:r>
              <w:rPr>
                <w:lang w:val="en-US"/>
              </w:rPr>
              <w:t xml:space="preserve">(MCSE)</w:t>
            </w:r>
          </w:p>
        </w:tc>
        <w:tc>
          <w:tcPr/>
          <w:p>
            <w:pPr>
              <w:pStyle w:val="Compact"/>
              <w:jc w:val="right"/>
            </w:pPr>
            <w:r>
              <w:rPr>
                <w:lang w:val="en-US"/>
              </w:rPr>
              <w:t xml:space="preserve">Top/bottom turnover (MCSE)</w:t>
            </w:r>
          </w:p>
        </w:tc>
        <w:tc>
          <w:tcPr/>
          <w:p>
            <w:pPr>
              <w:pStyle w:val="Compact"/>
              <w:jc w:val="right"/>
            </w:pPr>
            <w:r>
              <w:rPr>
                <w:lang w:val="en-US"/>
              </w:rPr>
              <w:t xml:space="preserve">Sign accuracy (MCSE)</w:t>
            </w:r>
          </w:p>
        </w:tc>
        <w:tc>
          <w:tcPr/>
          <w:p>
            <w:pPr>
              <w:pStyle w:val="Compact"/>
              <w:jc w:val="right"/>
            </w:pPr>
            <w:r>
              <w:rPr>
                <w:lang w:val="en-US"/>
              </w:rPr>
              <w:t xml:space="preserve">Exact orders / 300 (Wilson upper 95%)</w:t>
            </w:r>
          </w:p>
        </w:tc>
      </w:tr>
      <w:tr>
        <w:tc>
          <w:tcPr/>
          <w:p>
            <w:pPr>
              <w:pStyle w:val="Compact"/>
              <w:jc w:val="left"/>
            </w:pPr>
            <w:r>
              <w:rPr>
                <w:lang w:val="en-US"/>
              </w:rPr>
              <w:t xml:space="preserve">10, equally spaced</w:t>
            </w:r>
          </w:p>
        </w:tc>
        <w:tc>
          <w:tcPr/>
          <w:p>
            <w:pPr>
              <w:pStyle w:val="Compact"/>
              <w:jc w:val="right"/>
            </w:pPr>
            <w:r>
              <w:rPr>
                <w:lang w:val="en-US"/>
              </w:rPr>
              <w:t xml:space="preserve">0.1759 (0.0038)</w:t>
            </w:r>
          </w:p>
        </w:tc>
        <w:tc>
          <w:tcPr/>
          <w:p>
            <w:pPr>
              <w:pStyle w:val="Compact"/>
              <w:jc w:val="right"/>
            </w:pPr>
            <w:r>
              <w:rPr>
                <w:lang w:val="en-US"/>
              </w:rPr>
              <w:t xml:space="preserve">0.7971 (0.0067)</w:t>
            </w:r>
          </w:p>
        </w:tc>
        <w:tc>
          <w:tcPr/>
          <w:p>
            <w:pPr>
              <w:pStyle w:val="Compact"/>
              <w:jc w:val="right"/>
            </w:pPr>
            <w:r>
              <w:rPr>
                <w:lang w:val="en-US"/>
              </w:rPr>
              <w:t xml:space="preserve">0.3667 (0.0122)</w:t>
            </w:r>
          </w:p>
        </w:tc>
        <w:tc>
          <w:tcPr/>
          <w:p>
            <w:pPr>
              <w:pStyle w:val="Compact"/>
              <w:jc w:val="right"/>
            </w:pPr>
            <w:r>
              <w:rPr>
                <w:lang w:val="en-US"/>
              </w:rPr>
              <w:t xml:space="preserve">0.8260 (0.0066)</w:t>
            </w:r>
          </w:p>
        </w:tc>
        <w:tc>
          <w:tcPr/>
          <w:p>
            <w:pPr>
              <w:pStyle w:val="Compact"/>
              <w:jc w:val="right"/>
            </w:pPr>
            <w:r>
              <w:rPr>
                <w:lang w:val="en-US"/>
              </w:rPr>
              <w:t xml:space="preserve">0 (1.26%)</w:t>
            </w:r>
          </w:p>
        </w:tc>
      </w:tr>
      <w:tr>
        <w:tc>
          <w:tcPr/>
          <w:p>
            <w:pPr>
              <w:pStyle w:val="Compact"/>
              <w:jc w:val="left"/>
            </w:pPr>
            <w:r>
              <w:rPr>
                <w:lang w:val="en-US"/>
              </w:rPr>
              <w:t xml:space="preserve">10, near-tied</w:t>
            </w:r>
          </w:p>
        </w:tc>
        <w:tc>
          <w:tcPr/>
          <w:p>
            <w:pPr>
              <w:pStyle w:val="Compact"/>
              <w:jc w:val="right"/>
            </w:pPr>
            <w:r>
              <w:rPr>
                <w:lang w:val="en-US"/>
              </w:rPr>
              <w:t xml:space="preserve">0.4951 (0.0069)</w:t>
            </w:r>
          </w:p>
        </w:tc>
        <w:tc>
          <w:tcPr/>
          <w:p>
            <w:pPr>
              <w:pStyle w:val="Compact"/>
              <w:jc w:val="right"/>
            </w:pPr>
            <w:r>
              <w:rPr>
                <w:lang w:val="en-US"/>
              </w:rPr>
              <w:t xml:space="preserve">0.0145 (0.0187)</w:t>
            </w:r>
          </w:p>
        </w:tc>
        <w:tc>
          <w:tcPr/>
          <w:p>
            <w:pPr>
              <w:pStyle w:val="Compact"/>
              <w:jc w:val="right"/>
            </w:pPr>
            <w:r>
              <w:rPr>
                <w:lang w:val="en-US"/>
              </w:rPr>
              <w:t xml:space="preserve">0.7917 (0.0111)</w:t>
            </w:r>
          </w:p>
        </w:tc>
        <w:tc>
          <w:tcPr/>
          <w:p>
            <w:pPr>
              <w:pStyle w:val="Compact"/>
              <w:jc w:val="right"/>
            </w:pPr>
            <w:r>
              <w:rPr>
                <w:lang w:val="en-US"/>
              </w:rPr>
              <w:t xml:space="preserve">0.5040 (0.0089)</w:t>
            </w:r>
          </w:p>
        </w:tc>
        <w:tc>
          <w:tcPr/>
          <w:p>
            <w:pPr>
              <w:pStyle w:val="Compact"/>
              <w:jc w:val="right"/>
            </w:pPr>
            <w:r>
              <w:rPr>
                <w:lang w:val="en-US"/>
              </w:rPr>
              <w:t xml:space="preserve">0 (1.26%)</w:t>
            </w:r>
          </w:p>
        </w:tc>
      </w:tr>
      <w:tr>
        <w:tc>
          <w:tcPr/>
          <w:p>
            <w:pPr>
              <w:pStyle w:val="Compact"/>
              <w:jc w:val="left"/>
            </w:pPr>
            <w:r>
              <w:rPr>
                <w:lang w:val="en-US"/>
              </w:rPr>
              <w:t xml:space="preserve">50, equally spaced</w:t>
            </w:r>
          </w:p>
        </w:tc>
        <w:tc>
          <w:tcPr/>
          <w:p>
            <w:pPr>
              <w:pStyle w:val="Compact"/>
              <w:jc w:val="right"/>
            </w:pPr>
            <w:r>
              <w:rPr>
                <w:lang w:val="en-US"/>
              </w:rPr>
              <w:t xml:space="preserve">0.2119 (0.0014)</w:t>
            </w:r>
          </w:p>
        </w:tc>
        <w:tc>
          <w:tcPr/>
          <w:p>
            <w:pPr>
              <w:pStyle w:val="Compact"/>
              <w:jc w:val="right"/>
            </w:pPr>
            <w:r>
              <w:rPr>
                <w:lang w:val="en-US"/>
              </w:rPr>
              <w:t xml:space="preserve">0.7710 (0.0029)</w:t>
            </w:r>
          </w:p>
        </w:tc>
        <w:tc>
          <w:tcPr/>
          <w:p>
            <w:pPr>
              <w:pStyle w:val="Compact"/>
              <w:jc w:val="right"/>
            </w:pPr>
            <w:r>
              <w:rPr>
                <w:lang w:val="en-US"/>
              </w:rPr>
              <w:t xml:space="preserve">0.4023 (0.0049)</w:t>
            </w:r>
          </w:p>
        </w:tc>
        <w:tc>
          <w:tcPr/>
          <w:p>
            <w:pPr>
              <w:pStyle w:val="Compact"/>
              <w:jc w:val="right"/>
            </w:pPr>
            <w:r>
              <w:rPr>
                <w:lang w:val="en-US"/>
              </w:rPr>
              <w:t xml:space="preserve">0.8074 (0.0031)</w:t>
            </w:r>
          </w:p>
        </w:tc>
        <w:tc>
          <w:tcPr/>
          <w:p>
            <w:pPr>
              <w:pStyle w:val="Compact"/>
              <w:jc w:val="right"/>
            </w:pPr>
            <w:r>
              <w:rPr>
                <w:lang w:val="en-US"/>
              </w:rPr>
              <w:t xml:space="preserve">0 (1.26%)</w:t>
            </w:r>
          </w:p>
        </w:tc>
      </w:tr>
      <w:tr>
        <w:tc>
          <w:tcPr/>
          <w:p>
            <w:pPr>
              <w:pStyle w:val="Compact"/>
              <w:jc w:val="left"/>
            </w:pPr>
            <w:r>
              <w:rPr>
                <w:lang w:val="en-US"/>
              </w:rPr>
              <w:t xml:space="preserve">50, near-tied</w:t>
            </w:r>
          </w:p>
        </w:tc>
        <w:tc>
          <w:tcPr/>
          <w:p>
            <w:pPr>
              <w:pStyle w:val="Compact"/>
              <w:jc w:val="right"/>
            </w:pPr>
            <w:r>
              <w:rPr>
                <w:lang w:val="en-US"/>
              </w:rPr>
              <w:t xml:space="preserve">0.4922 (0.0028)</w:t>
            </w:r>
          </w:p>
        </w:tc>
        <w:tc>
          <w:tcPr/>
          <w:p>
            <w:pPr>
              <w:pStyle w:val="Compact"/>
              <w:jc w:val="right"/>
            </w:pPr>
            <w:r>
              <w:rPr>
                <w:lang w:val="en-US"/>
              </w:rPr>
              <w:t xml:space="preserve">0.0227 (0.0081)</w:t>
            </w:r>
          </w:p>
        </w:tc>
        <w:tc>
          <w:tcPr/>
          <w:p>
            <w:pPr>
              <w:pStyle w:val="Compact"/>
              <w:jc w:val="right"/>
            </w:pPr>
            <w:r>
              <w:rPr>
                <w:lang w:val="en-US"/>
              </w:rPr>
              <w:t xml:space="preserve">0.7977 (0.0047)</w:t>
            </w:r>
          </w:p>
        </w:tc>
        <w:tc>
          <w:tcPr/>
          <w:p>
            <w:pPr>
              <w:pStyle w:val="Compact"/>
              <w:jc w:val="right"/>
            </w:pPr>
            <w:r>
              <w:rPr>
                <w:lang w:val="en-US"/>
              </w:rPr>
              <w:t xml:space="preserve">0.5067 (0.0042)</w:t>
            </w:r>
          </w:p>
        </w:tc>
        <w:tc>
          <w:tcPr/>
          <w:p>
            <w:pPr>
              <w:pStyle w:val="Compact"/>
              <w:jc w:val="right"/>
            </w:pPr>
            <w:r>
              <w:rPr>
                <w:lang w:val="en-US"/>
              </w:rPr>
              <w:t xml:space="preserve">0 (1.26%)</w:t>
            </w:r>
          </w:p>
        </w:tc>
      </w:tr>
    </w:tbl>
    <w:p>
      <w:pPr>
        <w:pStyle w:val="BodyText"/>
      </w:pPr>
      <w:r>
        <w:rPr>
          <w:lang w:val="en-US"/>
        </w:rPr>
        <w:t xml:space="preserve">For this metric, a uniformly random ranking gives an exact chance reference. If each tail contains k = n/5 names, expected overlap with either fixed true tail is k²/n; therefore expected top/bottom turnover is 1 − (2k²/n)/(2k) = 1 − k/n = 0.8. The near-tied means, 0.7917 for n = 10 and 0.7977 for n = 50, are respectively 0.75 and 0.49 MCSE below that reference (Table 3). This contextualizes these low-signal synthetic rankings; it does not estimate market turnover.</w:t>
      </w:r>
    </w:p>
    <w:p>
      <w:pPr>
        <w:pStyle w:val="BodyText"/>
      </w:pPr>
      <w:r>
        <w:rPr>
          <w:lang w:val="en-US"/>
        </w:rPr>
        <w:t xml:space="preserve">The comparison changes with signal spacing and error structure. A common additive shock shifts every value equally and therefore leaves ordering unchanged by construction; it is an invariance control, not a market-noise model. Continuous-metric MCSEs are calculated across the 300 replicate-level metric values; names and within-replicate pairs are not counted as independent observations. The Wilson upper bound after 0/300 exact orders is 1.26%; zero observed events is not a zero probability. Full cell-level means/MCSEs, Wilson intervals, paired scale contrasts, and per-name inclusion probabilities are in the companion CSVs.</w:t>
      </w:r>
    </w:p>
    <w:p>
      <w:pPr>
        <w:pStyle w:val="BodyText"/>
      </w:pPr>
      <w:r>
        <w:rPr>
          <w:lang w:val="en-US"/>
        </w:rPr>
        <w:t xml:space="preserve">For Gaussian CPIV-space noise only, Appendix Table C1 compares the simulator with a closed-form benchmark for expected inversion fraction, sign accuracy, and Spearman correlation. A pair with prescribed gap</w:t>
      </w:r>
      <w:r>
        <w:rPr>
          <w:lang w:val="en-US"/>
        </w:rPr>
        <w:t xml:space="preserve"> </w:t>
      </w:r>
      <m:oMath>
        <m:r>
          <m:rPr>
            <m:sty m:val="p"/>
          </m:rPr>
          <m:t>Δ</m:t>
        </m:r>
      </m:oMath>
      <w:r>
        <w:rPr>
          <w:lang w:val="en-US"/>
        </w:rPr>
        <w:t xml:space="preserve"> </w:t>
      </w:r>
      <w:r>
        <w:rPr>
          <w:lang w:val="en-US"/>
        </w:rPr>
        <w:t xml:space="preserve">is inverted with probability</w:t>
      </w:r>
      <w:r>
        <w:rPr>
          <w:lang w:val="en-US"/>
        </w:rPr>
        <w:t xml:space="preserve"> </w:t>
      </w:r>
      <m:oMath>
        <m:r>
          <m:rPr>
            <m:sty m:val="p"/>
          </m:rPr>
          <m:t>Φ</m:t>
        </m:r>
        <m:r>
          <m:rPr>
            <m:sty m:val="p"/>
          </m:rPr>
          <m:t>(</m:t>
        </m:r>
        <m:r>
          <m:rPr>
            <m:sty m:val="p"/>
          </m:rPr>
          <m:t>−</m:t>
        </m:r>
        <m:r>
          <m:rPr>
            <m:sty m:val="p"/>
          </m:rPr>
          <m:t>Δ</m:t>
        </m:r>
        <m:r>
          <m:rPr>
            <m:sty m:val="p"/>
          </m:rPr>
          <m:t>/</m:t>
        </m:r>
        <m:r>
          <m:rPr>
            <m:sty m:val="p"/>
          </m:rPr>
          <m:t>(</m:t>
        </m:r>
        <m:r>
          <m:t>s</m:t>
        </m:r>
        <m:rad>
          <m:radPr>
            <m:degHide m:val="on"/>
          </m:radPr>
          <m:deg/>
          <m:e>
            <m:r>
              <m:t>2</m:t>
            </m:r>
          </m:e>
        </m:rad>
        <m:r>
          <m:rPr>
            <m:sty m:val="p"/>
          </m:rPr>
          <m:t>)</m:t>
        </m:r>
        <m:r>
          <m:rPr>
            <m:sty m:val="p"/>
          </m:rPr>
          <m:t>)</m:t>
        </m:r>
      </m:oMath>
      <w:r>
        <w:rPr>
          <w:lang w:val="en-US"/>
        </w:rPr>
        <w:t xml:space="preserve">, name</w:t>
      </w:r>
      <w:r>
        <w:rPr>
          <w:lang w:val="en-US"/>
        </w:rPr>
        <w:t xml:space="preserve"> </w:t>
      </w:r>
      <m:oMath>
        <m:r>
          <m:t>i</m:t>
        </m:r>
      </m:oMath>
      <w:r>
        <w:rPr>
          <w:lang w:val="en-US"/>
        </w:rPr>
        <w:t xml:space="preserve"> </w:t>
      </w:r>
      <w:r>
        <w:rPr>
          <w:lang w:val="en-US"/>
        </w:rPr>
        <w:t xml:space="preserve">has the correct sign with probability</w:t>
      </w:r>
      <w:r>
        <w:rPr>
          <w:lang w:val="en-US"/>
        </w:rPr>
        <w:t xml:space="preserve"> </w:t>
      </w:r>
      <m:oMath>
        <m:r>
          <m:rPr>
            <m:sty m:val="p"/>
          </m:rPr>
          <m:t>Φ</m:t>
        </m:r>
        <m:r>
          <m:rPr>
            <m:sty m:val="p"/>
          </m:rPr>
          <m:t>(</m:t>
        </m:r>
        <m:r>
          <m:rPr>
            <m:sty m:val="p"/>
          </m:rPr>
          <m:t>|</m:t>
        </m:r>
        <m:sSub>
          <m:e>
            <m:r>
              <m:t>x</m:t>
            </m:r>
          </m:e>
          <m:sub>
            <m:r>
              <m:t>i</m:t>
            </m:r>
          </m:sub>
        </m:sSub>
        <m:r>
          <m:rPr>
            <m:sty m:val="p"/>
          </m:rPr>
          <m:t>|</m:t>
        </m:r>
        <m:r>
          <m:rPr>
            <m:sty m:val="p"/>
          </m:rPr>
          <m:t>/</m:t>
        </m:r>
        <m:r>
          <m:t>s</m:t>
        </m:r>
        <m:r>
          <m:rPr>
            <m:sty m:val="p"/>
          </m:rPr>
          <m:t>)</m:t>
        </m:r>
      </m:oMath>
      <w:r>
        <w:rPr>
          <w:lang w:val="en-US"/>
        </w:rPr>
        <w:t xml:space="preserve">, and the expected Spearman correlation follows from bivariate-normal probabilities. Top/bottom turnover has no closed form and is checked only against the stored run. The 90 closed-form comparisons and 960 fresh-versus-stored simulation comparisons form one 1,050-test Holm family; none is rejected at 0.05 (Table C1). The stored 300-replicate concave-magnitude inversion cell at</w:t>
      </w:r>
      <w:r>
        <w:rPr>
          <w:lang w:val="en-US"/>
        </w:rPr>
        <w:t xml:space="preserve"> </w:t>
      </w:r>
      <m:oMath>
        <m:r>
          <m:t>s</m:t>
        </m:r>
        <m:r>
          <m:rPr>
            <m:sty m:val="p"/>
          </m:rPr>
          <m:t>=</m:t>
        </m:r>
        <m:r>
          <m:t>0.50</m:t>
        </m:r>
      </m:oMath>
      <w:r>
        <w:rPr>
          <w:lang w:val="en-US"/>
        </w:rPr>
        <w:t xml:space="preserve"> </w:t>
      </w:r>
      <w:r>
        <w:rPr>
          <w:lang w:val="en-US"/>
        </w:rPr>
        <w:t xml:space="preserve">is</w:t>
      </w:r>
      <w:r>
        <w:rPr>
          <w:lang w:val="en-US"/>
        </w:rPr>
        <w:t xml:space="preserve"> </w:t>
      </w:r>
      <m:oMath>
        <m:r>
          <m:t>0.1746</m:t>
        </m:r>
      </m:oMath>
      <w:r>
        <w:rPr>
          <w:lang w:val="en-US"/>
        </w:rPr>
        <w:t xml:space="preserve">, 2.71 combined Monte Carlo standard errors above the fresh 3,000-replicate value of</w:t>
      </w:r>
      <w:r>
        <w:rPr>
          <w:lang w:val="en-US"/>
        </w:rPr>
        <w:t xml:space="preserve"> </w:t>
      </w:r>
      <m:oMath>
        <m:r>
          <m:t>0.1647</m:t>
        </m:r>
      </m:oMath>
      <w:r>
        <w:rPr>
          <w:lang w:val="en-US"/>
        </w:rPr>
        <w:t xml:space="preserve">; its Holm-adjusted p is 1.000. These are author-run consistency checks of the simulator, not independent replication; the script is research/cpiv/gaussian_rank_benchmark.py. Non-Gaussian families have no closed form and are compared only simulation against simulation.</w:t>
      </w:r>
    </w:p>
    <w:p>
      <w:pPr>
        <w:pStyle w:val="BodyText"/>
      </w:pPr>
      <w:r>
        <w:rPr>
          <w:lang w:val="en-US"/>
        </w:rPr>
        <w:t xml:space="preserve">Numerical cross-check scope and provenance are documented in Section 9; these checks are implementation diagnostics, not independent validation.</w:t>
      </w:r>
    </w:p>
    <w:p>
      <w:pPr>
        <w:pStyle w:val="BodyText"/>
      </w:pPr>
      <w:r>
        <w:rPr>
          <w:lang w:val="en-US"/>
        </w:rPr>
        <w:t xml:space="preserve">The simulated rank-correlation patterns across signal shapes and universe sizes are plotted in Figure 3, complementing the replicate summaries in Table 3.</w:t>
      </w:r>
    </w:p>
    <w:bookmarkEnd w:id="35"/>
    <w:bookmarkStart w:id="40" w:name="illustrative-uncertainty-budget"/>
    <w:p>
      <w:pPr>
        <w:pStyle w:val="Heading3"/>
      </w:pPr>
      <w:r>
        <w:rPr>
          <w:lang w:val="en-US"/>
        </w:rPr>
        <w:t xml:space="preserve">7.6 Illustrative uncertainty budget</w:t>
      </w:r>
    </w:p>
    <w:p>
      <w:pPr>
        <w:pStyle w:val="FirstParagraph"/>
      </w:pPr>
      <w:r>
        <w:rPr>
          <w:lang w:val="en-US"/>
        </w:rPr>
        <w:t xml:space="preserve">For</w:t>
      </w:r>
      <w:r>
        <w:rPr>
          <w:lang w:val="en-US"/>
        </w:rPr>
        <w:t xml:space="preserve"> </w:t>
      </w:r>
      <m:oMath>
        <m:r>
          <m:t>R</m:t>
        </m:r>
        <m:r>
          <m:rPr>
            <m:sty m:val="p"/>
          </m:rPr>
          <m:t>=</m:t>
        </m:r>
        <m:r>
          <m:t>C</m:t>
        </m:r>
        <m:r>
          <m:rPr>
            <m:sty m:val="p"/>
          </m:rPr>
          <m:t>−</m:t>
        </m:r>
        <m:r>
          <m:t>P</m:t>
        </m:r>
        <m:r>
          <m:rPr>
            <m:sty m:val="p"/>
          </m:rPr>
          <m:t>−</m:t>
        </m:r>
        <m:r>
          <m:t>S</m:t>
        </m:r>
        <m:sSup>
          <m:e>
            <m:r>
              <m:t>e</m:t>
            </m:r>
          </m:e>
          <m:sup>
            <m:r>
              <m:rPr>
                <m:sty m:val="p"/>
              </m:rPr>
              <m:t>−</m:t>
            </m:r>
            <m:r>
              <m:t>q</m:t>
            </m:r>
            <m:r>
              <m:t>T</m:t>
            </m:r>
          </m:sup>
        </m:sSup>
        <m:r>
          <m:rPr>
            <m:sty m:val="p"/>
          </m:rPr>
          <m:t>+</m:t>
        </m:r>
        <m:r>
          <m:t>K</m:t>
        </m:r>
        <m:sSup>
          <m:e>
            <m:r>
              <m:t>e</m:t>
            </m:r>
          </m:e>
          <m:sup>
            <m:r>
              <m:rPr>
                <m:sty m:val="p"/>
              </m:rPr>
              <m:t>−</m:t>
            </m:r>
            <m:r>
              <m:t>r</m:t>
            </m:r>
            <m:r>
              <m:t>T</m:t>
            </m:r>
          </m:sup>
        </m:sSup>
      </m:oMath>
      <w:r>
        <w:rPr>
          <w:lang w:val="en-US"/>
        </w:rPr>
        <w:t xml:space="preserve">, the first-order residual perturbation, with</w:t>
      </w:r>
      <w:r>
        <w:rPr>
          <w:lang w:val="en-US"/>
        </w:rPr>
        <w:t xml:space="preserve"> </w:t>
      </w:r>
      <m:oMath>
        <m:r>
          <m:t>K</m:t>
        </m:r>
        <m:r>
          <m:rPr>
            <m:sty m:val="p"/>
          </m:rPr>
          <m:t>,</m:t>
        </m:r>
        <m:r>
          <m:t>T</m:t>
        </m:r>
      </m:oMath>
      <w:r>
        <w:rPr>
          <w:lang w:val="en-US"/>
        </w:rPr>
        <w:t xml:space="preserve"> </w:t>
      </w:r>
      <w:r>
        <w:rPr>
          <w:lang w:val="en-US"/>
        </w:rPr>
        <w:t xml:space="preserve">fixed, is</w:t>
      </w:r>
    </w:p>
    <w:p>
      <w:pPr>
        <w:pStyle w:val="BodyText"/>
      </w:pPr>
      <m:oMathPara>
        <m:oMathParaPr>
          <m:jc m:val="center"/>
        </m:oMathParaPr>
        <m:oMath>
          <m:r>
            <m:t>δ</m:t>
          </m:r>
          <m:r>
            <m:t>R</m:t>
          </m:r>
          <m:r>
            <m:rPr>
              <m:sty m:val="p"/>
            </m:rPr>
            <m:t>≈</m:t>
          </m:r>
          <m:r>
            <m:t>δ</m:t>
          </m:r>
          <m:r>
            <m:t>C</m:t>
          </m:r>
          <m:r>
            <m:rPr>
              <m:sty m:val="p"/>
            </m:rPr>
            <m:t>−</m:t>
          </m:r>
          <m:r>
            <m:t>δ</m:t>
          </m:r>
          <m:r>
            <m:t>P</m:t>
          </m:r>
          <m:r>
            <m:rPr>
              <m:sty m:val="p"/>
            </m:rPr>
            <m:t>−</m:t>
          </m:r>
          <m:sSup>
            <m:e>
              <m:r>
                <m:t>e</m:t>
              </m:r>
            </m:e>
            <m:sup>
              <m:r>
                <m:rPr>
                  <m:sty m:val="p"/>
                </m:rPr>
                <m:t>−</m:t>
              </m:r>
              <m:r>
                <m:t>q</m:t>
              </m:r>
              <m:r>
                <m:t>T</m:t>
              </m:r>
            </m:sup>
          </m:sSup>
          <m:r>
            <m:t>δ</m:t>
          </m:r>
          <m:r>
            <m:t>S</m:t>
          </m:r>
          <m:r>
            <m:rPr>
              <m:sty m:val="p"/>
            </m:rPr>
            <m:t>+</m:t>
          </m:r>
          <m:r>
            <m:t>S</m:t>
          </m:r>
          <m:r>
            <m:t>T</m:t>
          </m:r>
          <m:sSup>
            <m:e>
              <m:r>
                <m:t>e</m:t>
              </m:r>
            </m:e>
            <m:sup>
              <m:r>
                <m:rPr>
                  <m:sty m:val="p"/>
                </m:rPr>
                <m:t>−</m:t>
              </m:r>
              <m:r>
                <m:t>q</m:t>
              </m:r>
              <m:r>
                <m:t>T</m:t>
              </m:r>
            </m:sup>
          </m:sSup>
          <m:r>
            <m:t>δ</m:t>
          </m:r>
          <m:r>
            <m:t>q</m:t>
          </m:r>
          <m:r>
            <m:rPr>
              <m:sty m:val="p"/>
            </m:rPr>
            <m:t>−</m:t>
          </m:r>
          <m:r>
            <m:t>K</m:t>
          </m:r>
          <m:r>
            <m:t>T</m:t>
          </m:r>
          <m:sSup>
            <m:e>
              <m:r>
                <m:t>e</m:t>
              </m:r>
            </m:e>
            <m:sup>
              <m:r>
                <m:rPr>
                  <m:sty m:val="p"/>
                </m:rPr>
                <m:t>−</m:t>
              </m:r>
              <m:r>
                <m:t>r</m:t>
              </m:r>
              <m:r>
                <m:t>T</m:t>
              </m:r>
            </m:sup>
          </m:sSup>
          <m:r>
            <m:t>δ</m:t>
          </m:r>
          <m:r>
            <m:t>r</m:t>
          </m:r>
          <m:r>
            <m:t>  </m:t>
          </m:r>
          <m:r>
            <m:rPr>
              <m:nor/>
              <m:sty m:val="p"/>
            </m:rPr>
            <m:t>(7)</m:t>
          </m:r>
          <m:r>
            <m:rPr>
              <m:sty m:val="p"/>
            </m:rPr>
            <m:t>.</m:t>
          </m:r>
        </m:oMath>
      </m:oMathPara>
    </w:p>
    <w:p>
      <w:pPr>
        <w:pStyle w:val="FirstParagraph"/>
      </w:pPr>
      <w:r>
        <w:rPr>
          <w:lang w:val="en-US"/>
        </w:rPr>
        <w:t xml:space="preserve">The residual-based conversion is a local common-volatility case, not a general gradient for two unequal IVs. For the paired estimator, let</w:t>
      </w:r>
      <w:r>
        <w:rPr>
          <w:lang w:val="en-US"/>
        </w:rPr>
        <w:t xml:space="preserve"> </w:t>
      </w:r>
      <m:oMath>
        <m:sSub>
          <m:e>
            <m:r>
              <m:t>x</m:t>
            </m:r>
          </m:e>
          <m:sub>
            <m:r>
              <m:t>j</m:t>
            </m:r>
          </m:sub>
        </m:sSub>
        <m:r>
          <m:rPr>
            <m:sty m:val="p"/>
          </m:rPr>
          <m:t>∈</m:t>
        </m:r>
        <m:r>
          <m:rPr>
            <m:sty m:val="p"/>
          </m:rPr>
          <m:t>{</m:t>
        </m:r>
        <m:r>
          <m:t>S</m:t>
        </m:r>
        <m:r>
          <m:rPr>
            <m:sty m:val="p"/>
          </m:rPr>
          <m:t>,</m:t>
        </m:r>
        <m:r>
          <m:t>K</m:t>
        </m:r>
        <m:r>
          <m:rPr>
            <m:sty m:val="p"/>
          </m:rPr>
          <m:t>,</m:t>
        </m:r>
        <m:r>
          <m:t>T</m:t>
        </m:r>
        <m:r>
          <m:rPr>
            <m:sty m:val="p"/>
          </m:rPr>
          <m:t>,</m:t>
        </m:r>
        <m:r>
          <m:t>r</m:t>
        </m:r>
        <m:r>
          <m:rPr>
            <m:sty m:val="p"/>
          </m:rPr>
          <m:t>,</m:t>
        </m:r>
        <m:r>
          <m:t>q</m:t>
        </m:r>
        <m:r>
          <m:rPr>
            <m:sty m:val="p"/>
          </m:rPr>
          <m:t>}</m:t>
        </m:r>
      </m:oMath>
      <w:r>
        <w:rPr>
          <w:lang w:val="en-US"/>
        </w:rPr>
        <w:t xml:space="preserve">, and let</w:t>
      </w:r>
      <w:r>
        <w:rPr>
          <w:lang w:val="en-US"/>
        </w:rPr>
        <w:t xml:space="preserve"> </w:t>
      </w:r>
      <m:oMath>
        <m:sSub>
          <m:e>
            <m:r>
              <m:t>C</m:t>
            </m:r>
          </m:e>
          <m:sub>
            <m:sSub>
              <m:e>
                <m:r>
                  <m:t>x</m:t>
                </m:r>
              </m:e>
              <m:sub>
                <m:r>
                  <m:t>j</m:t>
                </m:r>
              </m:sub>
            </m:sSub>
          </m:sub>
        </m:sSub>
        <m:r>
          <m:rPr>
            <m:sty m:val="p"/>
          </m:rPr>
          <m:t>(</m:t>
        </m:r>
        <m:r>
          <m:t>x</m:t>
        </m:r>
        <m:r>
          <m:rPr>
            <m:sty m:val="p"/>
          </m:rPr>
          <m:t>,</m:t>
        </m:r>
        <m:sSub>
          <m:e>
            <m:r>
              <m:t>σ</m:t>
            </m:r>
          </m:e>
          <m:sub>
            <m:r>
              <m:t>C</m:t>
            </m:r>
          </m:sub>
        </m:sSub>
        <m:r>
          <m:rPr>
            <m:sty m:val="p"/>
          </m:rPr>
          <m:t>)</m:t>
        </m:r>
      </m:oMath>
      <w:r>
        <w:rPr>
          <w:lang w:val="en-US"/>
        </w:rPr>
        <w:t xml:space="preserve">,</w:t>
      </w:r>
      <w:r>
        <w:rPr>
          <w:lang w:val="en-US"/>
        </w:rPr>
        <w:t xml:space="preserve"> </w:t>
      </w:r>
      <m:oMath>
        <m:sSub>
          <m:e>
            <m:r>
              <m:t>P</m:t>
            </m:r>
          </m:e>
          <m:sub>
            <m:sSub>
              <m:e>
                <m:r>
                  <m:t>x</m:t>
                </m:r>
              </m:e>
              <m:sub>
                <m:r>
                  <m:t>j</m:t>
                </m:r>
              </m:sub>
            </m:sSub>
          </m:sub>
        </m:sSub>
        <m:r>
          <m:rPr>
            <m:sty m:val="p"/>
          </m:rPr>
          <m:t>(</m:t>
        </m:r>
        <m:r>
          <m:t>x</m:t>
        </m:r>
        <m:r>
          <m:rPr>
            <m:sty m:val="p"/>
          </m:rPr>
          <m:t>,</m:t>
        </m:r>
        <m:sSub>
          <m:e>
            <m:r>
              <m:t>σ</m:t>
            </m:r>
          </m:e>
          <m:sub>
            <m:r>
              <m:t>P</m:t>
            </m:r>
          </m:sub>
        </m:sSub>
        <m:r>
          <m:rPr>
            <m:sty m:val="p"/>
          </m:rPr>
          <m:t>)</m:t>
        </m:r>
      </m:oMath>
      <w:r>
        <w:rPr>
          <w:lang w:val="en-US"/>
        </w:rPr>
        <w:t xml:space="preserve"> </w:t>
      </w:r>
      <w:r>
        <w:rPr>
          <w:lang w:val="en-US"/>
        </w:rPr>
        <w:t xml:space="preserve">be each leg’s BSM partial derivative at its own root;</w:t>
      </w:r>
      <w:r>
        <w:rPr>
          <w:lang w:val="en-US"/>
        </w:rPr>
        <w:t xml:space="preserve"> </w:t>
      </w:r>
      <m:oMath>
        <m:sSub>
          <m:e>
            <m:r>
              <m:t>ν</m:t>
            </m:r>
          </m:e>
          <m:sub>
            <m:r>
              <m:t>C</m:t>
            </m:r>
          </m:sub>
        </m:sSub>
        <m:r>
          <m:rPr>
            <m:sty m:val="p"/>
          </m:rPr>
          <m:t>=</m:t>
        </m:r>
        <m:r>
          <m:t>ν</m:t>
        </m:r>
        <m:r>
          <m:rPr>
            <m:sty m:val="p"/>
          </m:rPr>
          <m:t>(</m:t>
        </m:r>
        <m:r>
          <m:t>x</m:t>
        </m:r>
        <m:r>
          <m:rPr>
            <m:sty m:val="p"/>
          </m:rPr>
          <m:t>,</m:t>
        </m:r>
        <m:sSub>
          <m:e>
            <m:r>
              <m:t>σ</m:t>
            </m:r>
          </m:e>
          <m:sub>
            <m:r>
              <m:t>C</m:t>
            </m:r>
          </m:sub>
        </m:sSub>
        <m:r>
          <m:rPr>
            <m:sty m:val="p"/>
          </m:rPr>
          <m:t>)</m:t>
        </m:r>
      </m:oMath>
      <w:r>
        <w:rPr>
          <w:lang w:val="en-US"/>
        </w:rPr>
        <w:t xml:space="preserve"> </w:t>
      </w:r>
      <w:r>
        <w:rPr>
          <w:lang w:val="en-US"/>
        </w:rPr>
        <w:t xml:space="preserve">and</w:t>
      </w:r>
      <w:r>
        <w:rPr>
          <w:lang w:val="en-US"/>
        </w:rPr>
        <w:t xml:space="preserve"> </w:t>
      </w:r>
      <m:oMath>
        <m:sSub>
          <m:e>
            <m:r>
              <m:t>ν</m:t>
            </m:r>
          </m:e>
          <m:sub>
            <m:r>
              <m:t>P</m:t>
            </m:r>
          </m:sub>
        </m:sSub>
        <m:r>
          <m:rPr>
            <m:sty m:val="p"/>
          </m:rPr>
          <m:t>=</m:t>
        </m:r>
        <m:r>
          <m:t>ν</m:t>
        </m:r>
        <m:r>
          <m:rPr>
            <m:sty m:val="p"/>
          </m:rPr>
          <m:t>(</m:t>
        </m:r>
        <m:r>
          <m:t>x</m:t>
        </m:r>
        <m:r>
          <m:rPr>
            <m:sty m:val="p"/>
          </m:rPr>
          <m:t>,</m:t>
        </m:r>
        <m:sSub>
          <m:e>
            <m:r>
              <m:t>σ</m:t>
            </m:r>
          </m:e>
          <m:sub>
            <m:r>
              <m:t>P</m:t>
            </m:r>
          </m:sub>
        </m:sSub>
        <m:r>
          <m:rPr>
            <m:sty m:val="p"/>
          </m:rPr>
          <m:t>)</m:t>
        </m:r>
      </m:oMath>
      <w:r>
        <w:rPr>
          <w:lang w:val="en-US"/>
        </w:rPr>
        <w:t xml:space="preserve"> </w:t>
      </w:r>
      <w:r>
        <w:rPr>
          <w:lang w:val="en-US"/>
        </w:rPr>
        <w:t xml:space="preserve">are leg-specific vegas. Implicit differentiation gives</w:t>
      </w:r>
    </w:p>
    <w:p>
      <w:pPr>
        <w:pStyle w:val="BodyText"/>
      </w:pPr>
      <m:oMathPara>
        <m:oMathParaPr>
          <m:jc m:val="center"/>
        </m:oMathParaPr>
        <m:oMath>
          <m:r>
            <m:t>d</m:t>
          </m:r>
          <m:r>
            <m:t>C</m:t>
          </m:r>
          <m:r>
            <m:t>P</m:t>
          </m:r>
          <m:r>
            <m:t>I</m:t>
          </m:r>
          <m:sSub>
            <m:e>
              <m:r>
                <m:t>V</m:t>
              </m:r>
            </m:e>
            <m:sub>
              <m:r>
                <m:t>p</m:t>
              </m:r>
              <m:r>
                <m:t>p</m:t>
              </m:r>
            </m:sub>
          </m:sSub>
          <m:r>
            <m:rPr>
              <m:sty m:val="p"/>
            </m:rPr>
            <m:t>=</m:t>
          </m:r>
          <m:r>
            <m:t>100</m:t>
          </m:r>
          <m:d>
            <m:dPr>
              <m:begChr m:val="["/>
              <m:sepChr m:val=""/>
              <m:endChr m:val="]"/>
              <m:grow/>
            </m:dPr>
            <m:e>
              <m:f>
                <m:fPr>
                  <m:type m:val="bar"/>
                </m:fPr>
                <m:num>
                  <m:r>
                    <m:t>d</m:t>
                  </m:r>
                  <m:r>
                    <m:t>C</m:t>
                  </m:r>
                </m:num>
                <m:den>
                  <m:sSub>
                    <m:e>
                      <m:r>
                        <m:t>ν</m:t>
                      </m:r>
                    </m:e>
                    <m:sub>
                      <m:r>
                        <m:t>C</m:t>
                      </m:r>
                    </m:sub>
                  </m:sSub>
                </m:den>
              </m:f>
              <m:r>
                <m:rPr>
                  <m:sty m:val="p"/>
                </m:rPr>
                <m:t>−</m:t>
              </m:r>
              <m:f>
                <m:fPr>
                  <m:type m:val="bar"/>
                </m:fPr>
                <m:num>
                  <m:r>
                    <m:t>d</m:t>
                  </m:r>
                  <m:r>
                    <m:t>P</m:t>
                  </m:r>
                </m:num>
                <m:den>
                  <m:sSub>
                    <m:e>
                      <m:r>
                        <m:t>ν</m:t>
                      </m:r>
                    </m:e>
                    <m:sub>
                      <m:r>
                        <m:t>P</m:t>
                      </m:r>
                    </m:sub>
                  </m:sSub>
                </m:den>
              </m:f>
              <m:r>
                <m:rPr>
                  <m:sty m:val="p"/>
                </m:rPr>
                <m:t>−</m:t>
              </m:r>
              <m:nary>
                <m:naryPr>
                  <m:chr m:val="∑"/>
                  <m:limLoc m:val="undOvr"/>
                  <m:subHide m:val="off"/>
                  <m:supHide m:val="on"/>
                </m:naryPr>
                <m:sub>
                  <m:r>
                    <m:t>j</m:t>
                  </m:r>
                </m:sub>
                <m:sup>
                  <m:r>
                    <m:t>​</m:t>
                  </m:r>
                </m:sup>
                <m:e>
                  <m:d>
                    <m:dPr>
                      <m:begChr m:val="("/>
                      <m:sepChr m:val=""/>
                      <m:endChr m:val=")"/>
                      <m:grow/>
                    </m:dPr>
                    <m:e>
                      <m:f>
                        <m:fPr>
                          <m:type m:val="bar"/>
                        </m:fPr>
                        <m:num>
                          <m:sSub>
                            <m:e>
                              <m:r>
                                <m:t>C</m:t>
                              </m:r>
                            </m:e>
                            <m:sub>
                              <m:sSub>
                                <m:e>
                                  <m:r>
                                    <m:t>x</m:t>
                                  </m:r>
                                </m:e>
                                <m:sub>
                                  <m:r>
                                    <m:t>j</m:t>
                                  </m:r>
                                </m:sub>
                              </m:sSub>
                            </m:sub>
                          </m:sSub>
                        </m:num>
                        <m:den>
                          <m:sSub>
                            <m:e>
                              <m:r>
                                <m:t>ν</m:t>
                              </m:r>
                            </m:e>
                            <m:sub>
                              <m:r>
                                <m:t>C</m:t>
                              </m:r>
                            </m:sub>
                          </m:sSub>
                        </m:den>
                      </m:f>
                      <m:r>
                        <m:rPr>
                          <m:sty m:val="p"/>
                        </m:rPr>
                        <m:t>−</m:t>
                      </m:r>
                      <m:f>
                        <m:fPr>
                          <m:type m:val="bar"/>
                        </m:fPr>
                        <m:num>
                          <m:sSub>
                            <m:e>
                              <m:r>
                                <m:t>P</m:t>
                              </m:r>
                            </m:e>
                            <m:sub>
                              <m:sSub>
                                <m:e>
                                  <m:r>
                                    <m:t>x</m:t>
                                  </m:r>
                                </m:e>
                                <m:sub>
                                  <m:r>
                                    <m:t>j</m:t>
                                  </m:r>
                                </m:sub>
                              </m:sSub>
                            </m:sub>
                          </m:sSub>
                        </m:num>
                        <m:den>
                          <m:sSub>
                            <m:e>
                              <m:r>
                                <m:t>ν</m:t>
                              </m:r>
                            </m:e>
                            <m:sub>
                              <m:r>
                                <m:t>P</m:t>
                              </m:r>
                            </m:sub>
                          </m:sSub>
                        </m:den>
                      </m:f>
                    </m:e>
                  </m:d>
                </m:e>
              </m:nary>
              <m:r>
                <m:t>d</m:t>
              </m:r>
              <m:sSub>
                <m:e>
                  <m:r>
                    <m:t>x</m:t>
                  </m:r>
                </m:e>
                <m:sub>
                  <m:r>
                    <m:t>j</m:t>
                  </m:r>
                </m:sub>
              </m:sSub>
            </m:e>
          </m:d>
          <m:r>
            <m:rPr>
              <m:sty m:val="p"/>
            </m:rPr>
            <m:t>=</m:t>
          </m:r>
          <m:sSup>
            <m:e>
              <m:r>
                <m:t>a</m:t>
              </m:r>
            </m:e>
            <m:sup>
              <m:r>
                <m:rPr>
                  <m:scr m:val="sans-serif"/>
                  <m:sty m:val="p"/>
                </m:rPr>
                <m:t>T</m:t>
              </m:r>
            </m:sup>
          </m:sSup>
          <m:r>
            <m:t>d</m:t>
          </m:r>
          <m:r>
            <m:t>z</m:t>
          </m:r>
          <m:r>
            <m:t>  </m:t>
          </m:r>
          <m:r>
            <m:rPr>
              <m:nor/>
              <m:sty m:val="p"/>
            </m:rPr>
            <m:t>(8)</m:t>
          </m:r>
          <m:r>
            <m:rPr>
              <m:sty m:val="p"/>
            </m:rPr>
            <m:t>,</m:t>
          </m:r>
        </m:oMath>
      </m:oMathPara>
    </w:p>
    <w:p>
      <w:pPr>
        <w:pStyle w:val="FirstParagraph"/>
      </w:pPr>
      <w:r>
        <w:rPr>
          <w:lang w:val="en-US"/>
        </w:rPr>
        <w:t xml:space="preserve">where</w:t>
      </w:r>
      <w:r>
        <w:rPr>
          <w:lang w:val="en-US"/>
        </w:rPr>
        <w:t xml:space="preserve"> </w:t>
      </w:r>
      <m:oMath>
        <m:r>
          <m:t>d</m:t>
        </m:r>
        <m:r>
          <m:t>z</m:t>
        </m:r>
        <m:r>
          <m:rPr>
            <m:sty m:val="p"/>
          </m:rPr>
          <m:t>=</m:t>
        </m:r>
        <m:r>
          <m:rPr>
            <m:sty m:val="p"/>
          </m:rPr>
          <m:t>(</m:t>
        </m:r>
        <m:r>
          <m:t>d</m:t>
        </m:r>
        <m:r>
          <m:t>C</m:t>
        </m:r>
        <m:r>
          <m:rPr>
            <m:sty m:val="p"/>
          </m:rPr>
          <m:t>,</m:t>
        </m:r>
        <m:r>
          <m:t>d</m:t>
        </m:r>
        <m:r>
          <m:t>P</m:t>
        </m:r>
        <m:r>
          <m:rPr>
            <m:sty m:val="p"/>
          </m:rPr>
          <m:t>,</m:t>
        </m:r>
        <m:r>
          <m:t>d</m:t>
        </m:r>
        <m:r>
          <m:t>S</m:t>
        </m:r>
        <m:r>
          <m:rPr>
            <m:sty m:val="p"/>
          </m:rPr>
          <m:t>,</m:t>
        </m:r>
        <m:r>
          <m:t>d</m:t>
        </m:r>
        <m:r>
          <m:t>K</m:t>
        </m:r>
        <m:r>
          <m:rPr>
            <m:sty m:val="p"/>
          </m:rPr>
          <m:t>,</m:t>
        </m:r>
        <m:r>
          <m:t>d</m:t>
        </m:r>
        <m:r>
          <m:t>T</m:t>
        </m:r>
        <m:r>
          <m:rPr>
            <m:sty m:val="p"/>
          </m:rPr>
          <m:t>,</m:t>
        </m:r>
        <m:r>
          <m:t>d</m:t>
        </m:r>
        <m:r>
          <m:t>r</m:t>
        </m:r>
        <m:r>
          <m:rPr>
            <m:sty m:val="p"/>
          </m:rPr>
          <m:t>,</m:t>
        </m:r>
        <m:r>
          <m:t>d</m:t>
        </m:r>
        <m:r>
          <m:t>q</m:t>
        </m:r>
        <m:r>
          <m:rPr>
            <m:sty m:val="p"/>
          </m:rPr>
          <m:t>)</m:t>
        </m:r>
      </m:oMath>
      <w:r>
        <w:rPr>
          <w:lang w:val="en-US"/>
        </w:rPr>
        <w:t xml:space="preserve">. Thus the first-order variance approximation is</w:t>
      </w:r>
      <w:r>
        <w:rPr>
          <w:lang w:val="en-US"/>
        </w:rPr>
        <w:t xml:space="preserve"> </w:t>
      </w:r>
      <m:oMath>
        <m:r>
          <m:rPr>
            <m:sty m:val="p"/>
          </m:rPr>
          <m:t>Var</m:t>
        </m:r>
        <m:r>
          <m:rPr>
            <m:sty m:val="p"/>
          </m:rPr>
          <m:t>(</m:t>
        </m:r>
        <m:r>
          <m:t>d</m:t>
        </m:r>
        <m:r>
          <m:t>C</m:t>
        </m:r>
        <m:r>
          <m:t>P</m:t>
        </m:r>
        <m:r>
          <m:t>I</m:t>
        </m:r>
        <m:sSub>
          <m:e>
            <m:r>
              <m:t>V</m:t>
            </m:r>
          </m:e>
          <m:sub>
            <m:r>
              <m:t>p</m:t>
            </m:r>
            <m:r>
              <m:t>p</m:t>
            </m:r>
          </m:sub>
        </m:sSub>
        <m:r>
          <m:rPr>
            <m:sty m:val="p"/>
          </m:rPr>
          <m:t>)</m:t>
        </m:r>
        <m:r>
          <m:rPr>
            <m:sty m:val="p"/>
          </m:rPr>
          <m:t>≈</m:t>
        </m:r>
        <m:sSup>
          <m:e>
            <m:r>
              <m:t>a</m:t>
            </m:r>
          </m:e>
          <m:sup>
            <m:r>
              <m:rPr>
                <m:scr m:val="sans-serif"/>
                <m:sty m:val="p"/>
              </m:rPr>
              <m:t>T</m:t>
            </m:r>
          </m:sup>
        </m:sSup>
        <m:r>
          <m:rPr>
            <m:sty m:val="p"/>
          </m:rPr>
          <m:t>Σ</m:t>
        </m:r>
        <m:r>
          <m:t>a</m:t>
        </m:r>
      </m:oMath>
      <w:r>
        <w:rPr>
          <w:lang w:val="en-US"/>
        </w:rPr>
        <w:t xml:space="preserve">; when both legs share</w:t>
      </w:r>
      <w:r>
        <w:rPr>
          <w:lang w:val="en-US"/>
        </w:rPr>
        <w:t xml:space="preserve"> </w:t>
      </w:r>
      <m:oMath>
        <m:sSub>
          <m:e>
            <m:r>
              <m:t>σ</m:t>
            </m:r>
          </m:e>
          <m:sub>
            <m:r>
              <m:t>0</m:t>
            </m:r>
          </m:sub>
        </m:sSub>
      </m:oMath>
      <w:r>
        <w:rPr>
          <w:lang w:val="en-US"/>
        </w:rPr>
        <w:t xml:space="preserve">, parity reduces this expression to the common-vega residual approximation. A numerical central-difference test of the implemented unequal-IV gradient is included in the test suite.</w:t>
      </w:r>
    </w:p>
    <w:p>
      <w:pPr>
        <w:pStyle w:val="BodyText"/>
      </w:pPr>
      <w:r>
        <w:rPr>
          <w:lang w:val="en-US"/>
        </w:rPr>
        <w:t xml:space="preserve">The illustrative perturbation design fixes</w:t>
      </w:r>
      <w:r>
        <w:rPr>
          <w:lang w:val="en-US"/>
        </w:rPr>
        <w:t xml:space="preserve"> </w:t>
      </w:r>
      <m:oMath>
        <m:r>
          <m:t>S</m:t>
        </m:r>
        <m:r>
          <m:rPr>
            <m:sty m:val="p"/>
          </m:rPr>
          <m:t>=</m:t>
        </m:r>
        <m:r>
          <m:t>K</m:t>
        </m:r>
        <m:r>
          <m:rPr>
            <m:sty m:val="p"/>
          </m:rPr>
          <m:t>=</m:t>
        </m:r>
        <m:r>
          <m:t>100</m:t>
        </m:r>
      </m:oMath>
      <w:r>
        <w:rPr>
          <w:lang w:val="en-US"/>
        </w:rPr>
        <w:t xml:space="preserve">, 30 days,</w:t>
      </w:r>
      <w:r>
        <w:rPr>
          <w:lang w:val="en-US"/>
        </w:rPr>
        <w:t xml:space="preserve"> </w:t>
      </w:r>
      <m:oMath>
        <m:r>
          <m:t>r</m:t>
        </m:r>
        <m:r>
          <m:rPr>
            <m:sty m:val="p"/>
          </m:rPr>
          <m:t>=</m:t>
        </m:r>
        <m:r>
          <m:t>0.03</m:t>
        </m:r>
      </m:oMath>
      <w:r>
        <w:rPr>
          <w:lang w:val="en-US"/>
        </w:rPr>
        <w:t xml:space="preserve">, and</w:t>
      </w:r>
      <w:r>
        <w:rPr>
          <w:lang w:val="en-US"/>
        </w:rPr>
        <w:t xml:space="preserve"> </w:t>
      </w:r>
      <m:oMath>
        <m:r>
          <m:t>q</m:t>
        </m:r>
        <m:r>
          <m:rPr>
            <m:sty m:val="p"/>
          </m:rPr>
          <m:t>=</m:t>
        </m:r>
        <m:r>
          <m:t>0.01</m:t>
        </m:r>
      </m:oMath>
      <w:r>
        <w:rPr>
          <w:lang w:val="en-US"/>
        </w:rPr>
        <w:t xml:space="preserve">. Gaussian call and put premium errors each have SD USD 0.02 per underlying unit, spot error has SD USD 0.02, and rate and effective-yield errors each have SD 0.001; strike and maturity errors are zero. The covariance matrix is diagonal except for the call–put premium-error covariance, set to</w:t>
      </w:r>
      <w:r>
        <w:rPr>
          <w:lang w:val="en-US"/>
        </w:rPr>
        <w:t xml:space="preserve"> </w:t>
      </w:r>
      <m:oMath>
        <m:sSub>
          <m:e>
            <m:r>
              <m:t>ρ</m:t>
            </m:r>
          </m:e>
          <m:sub>
            <m:r>
              <m:t>C</m:t>
            </m:r>
            <m:r>
              <m:t>P</m:t>
            </m:r>
          </m:sub>
        </m:sSub>
        <m:r>
          <m:rPr>
            <m:sty m:val="p"/>
          </m:rPr>
          <m:t>(</m:t>
        </m:r>
        <m:r>
          <m:t>0.02</m:t>
        </m:r>
        <m:sSup>
          <m:e>
            <m:r>
              <m:rPr>
                <m:sty m:val="p"/>
              </m:rPr>
              <m:t>)</m:t>
            </m:r>
          </m:e>
          <m:sup>
            <m:r>
              <m:t>2</m:t>
            </m:r>
          </m:sup>
        </m:sSup>
      </m:oMath>
      <w:r>
        <w:rPr>
          <w:lang w:val="en-US"/>
        </w:rPr>
        <w:t xml:space="preserve"> </w:t>
      </w:r>
      <w:r>
        <w:rPr>
          <w:lang w:val="en-US"/>
        </w:rPr>
        <w:t xml:space="preserve">for</w:t>
      </w:r>
      <w:r>
        <w:rPr>
          <w:lang w:val="en-US"/>
        </w:rPr>
        <w:t xml:space="preserve"> </w:t>
      </w:r>
      <m:oMath>
        <m:sSub>
          <m:e>
            <m:r>
              <m:t>ρ</m:t>
            </m:r>
          </m:e>
          <m:sub>
            <m:r>
              <m:t>C</m:t>
            </m:r>
            <m:r>
              <m:t>P</m:t>
            </m:r>
          </m:sub>
        </m:sSub>
        <m:r>
          <m:rPr>
            <m:sty m:val="p"/>
          </m:rPr>
          <m:t>∈</m:t>
        </m:r>
        <m:r>
          <m:rPr>
            <m:sty m:val="p"/>
          </m:rPr>
          <m:t>{</m:t>
        </m:r>
        <m:r>
          <m:t>0</m:t>
        </m:r>
        <m:r>
          <m:rPr>
            <m:sty m:val="p"/>
          </m:rPr>
          <m:t>,</m:t>
        </m:r>
        <m:r>
          <m:t>0.5</m:t>
        </m:r>
        <m:r>
          <m:rPr>
            <m:sty m:val="p"/>
          </m:rPr>
          <m:t>,</m:t>
        </m:r>
        <m:r>
          <m:t>0.9</m:t>
        </m:r>
        <m:r>
          <m:rPr>
            <m:sty m:val="p"/>
          </m:rPr>
          <m:t>}</m:t>
        </m:r>
      </m:oMath>
      <w:r>
        <w:rPr>
          <w:lang w:val="en-US"/>
        </w:rPr>
        <w:t xml:space="preserve">. Thus spot, rate, and yield errors are mutually independent and independent of both premium errors. Each row aggregates 6,000 synthetic draws across seeds 20261012–20261014; all 6,000 inverted in these cases. Table 4 compares the first-order standard deviation from the full paired-IV gradient with the sample standard deviation from direct perturbation/inversion. It also reports an approximate normal-theory Monte Carlo standard error (MCSE) for the simulated sample SD,</w:t>
      </w:r>
      <w:r>
        <w:rPr>
          <w:lang w:val="en-US"/>
        </w:rPr>
        <w:t xml:space="preserve"> </w:t>
      </w:r>
      <m:oMath>
        <m:r>
          <m:t>s</m:t>
        </m:r>
        <m:r>
          <m:rPr>
            <m:sty m:val="p"/>
          </m:rPr>
          <m:t>/</m:t>
        </m:r>
        <m:rad>
          <m:radPr>
            <m:degHide m:val="on"/>
          </m:radPr>
          <m:deg/>
          <m:e>
            <m:r>
              <m:t>2</m:t>
            </m:r>
            <m:r>
              <m:rPr>
                <m:sty m:val="p"/>
              </m:rPr>
              <m:t>(</m:t>
            </m:r>
            <m:r>
              <m:t>n</m:t>
            </m:r>
            <m:r>
              <m:rPr>
                <m:sty m:val="p"/>
              </m:rPr>
              <m:t>−</m:t>
            </m:r>
            <m:r>
              <m:t>1</m:t>
            </m:r>
            <m:r>
              <m:rPr>
                <m:sty m:val="p"/>
              </m:rPr>
              <m:t>)</m:t>
            </m:r>
          </m:e>
        </m:rad>
      </m:oMath>
      <w:r>
        <w:rPr>
          <w:lang w:val="en-US"/>
        </w:rPr>
        <w:t xml:space="preserve">, with</w:t>
      </w:r>
      <w:r>
        <w:rPr>
          <w:lang w:val="en-US"/>
        </w:rPr>
        <w:t xml:space="preserve"> </w:t>
      </w:r>
      <m:oMath>
        <m:r>
          <m:t>n</m:t>
        </m:r>
        <m:r>
          <m:rPr>
            <m:sty m:val="p"/>
          </m:rPr>
          <m:t>=</m:t>
        </m:r>
        <m:r>
          <m:t>6</m:t>
        </m:r>
        <m:r>
          <m:rPr>
            <m:sty m:val="p"/>
          </m:rPr>
          <m:t>,</m:t>
        </m:r>
        <m:r>
          <m:t>000</m:t>
        </m:r>
      </m:oMath>
      <w:r>
        <w:rPr>
          <w:lang w:val="en-US"/>
        </w:rPr>
        <w:t xml:space="preserve">. This is a finite-draw precision diagnostic, not a formal test of the gradient approximation. These chosen scales are illustrations, not estimated market errors or uncertainty intervals.</w:t>
      </w:r>
    </w:p>
    <w:p>
      <w:pPr>
        <w:pStyle w:val="BodyText"/>
      </w:pPr>
      <w:r>
        <w:rPr>
          <w:b/>
          <w:bCs/>
          <w:lang w:val="en-US"/>
        </w:rPr>
        <w:t xml:space="preserve">Table 4.</w:t>
      </w:r>
      <w:r>
        <w:rPr>
          <w:lang w:val="en-US"/>
        </w:rPr>
        <w:t xml:space="preserve"> </w:t>
      </w:r>
      <w:r>
        <w:rPr>
          <w:lang w:val="en-US"/>
        </w:rPr>
        <w:t xml:space="preserve">First-order and direct-perturbation CPIV standard deviations and approximate MCSE of the simulated SD under stated synthetic input-error scales (pp; 6,000 resolved draws per row). Difference = direct SD minus gradient SD.</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lang w:val="en-US"/>
              </w:rPr>
              <w:t xml:space="preserve">IV case</w:t>
            </w:r>
            <w:r>
              <w:rPr>
                <w:lang w:val="en-US"/>
              </w:rPr>
              <w:t xml:space="preserve"> </w:t>
            </w:r>
            <m:oMath>
              <m:r>
                <m:rPr>
                  <m:sty m:val="p"/>
                </m:rPr>
                <m:t>(</m:t>
              </m:r>
              <m:sSub>
                <m:e>
                  <m:r>
                    <m:t>σ</m:t>
                  </m:r>
                </m:e>
                <m:sub>
                  <m:r>
                    <m:t>C</m:t>
                  </m:r>
                </m:sub>
              </m:sSub>
              <m:r>
                <m:rPr>
                  <m:sty m:val="p"/>
                </m:rPr>
                <m:t>,</m:t>
              </m:r>
              <m:sSub>
                <m:e>
                  <m:r>
                    <m:t>σ</m:t>
                  </m:r>
                </m:e>
                <m:sub>
                  <m:r>
                    <m:t>P</m:t>
                  </m:r>
                </m:sub>
              </m:sSub>
              <m:r>
                <m:rPr>
                  <m:sty m:val="p"/>
                </m:rPr>
                <m:t>)</m:t>
              </m:r>
            </m:oMath>
          </w:p>
        </w:tc>
        <w:tc>
          <w:tcPr/>
          <w:p>
            <w:pPr>
              <w:pStyle w:val="Compact"/>
              <w:jc w:val="right"/>
            </w:pPr>
            <w:r>
              <w:rPr>
                <w:lang w:val="en-US"/>
              </w:rPr>
              <w:t xml:space="preserve">Price-error correlation</w:t>
            </w:r>
          </w:p>
        </w:tc>
        <w:tc>
          <w:tcPr/>
          <w:p>
            <w:pPr>
              <w:pStyle w:val="Compact"/>
              <w:jc w:val="right"/>
            </w:pPr>
            <w:r>
              <w:rPr>
                <w:lang w:val="en-US"/>
              </w:rPr>
              <w:t xml:space="preserve">Gradient SD</w:t>
            </w:r>
          </w:p>
        </w:tc>
        <w:tc>
          <w:tcPr/>
          <w:p>
            <w:pPr>
              <w:pStyle w:val="Compact"/>
              <w:jc w:val="right"/>
            </w:pPr>
            <w:r>
              <w:rPr>
                <w:lang w:val="en-US"/>
              </w:rPr>
              <w:t xml:space="preserve">Direct simulation SD</w:t>
            </w:r>
          </w:p>
        </w:tc>
        <w:tc>
          <w:tcPr/>
          <w:p>
            <w:pPr>
              <w:pStyle w:val="Compact"/>
              <w:jc w:val="right"/>
            </w:pPr>
            <w:r>
              <w:rPr>
                <w:lang w:val="en-US"/>
              </w:rPr>
              <w:t xml:space="preserve">Difference</w:t>
            </w:r>
          </w:p>
        </w:tc>
        <w:tc>
          <w:tcPr/>
          <w:p>
            <w:pPr>
              <w:pStyle w:val="Compact"/>
              <w:jc w:val="right"/>
            </w:pPr>
            <w:r>
              <w:rPr>
                <w:lang w:val="en-US"/>
              </w:rPr>
              <w:t xml:space="preserve">Approx. MCSE†</w:t>
            </w:r>
          </w:p>
        </w:tc>
        <w:tc>
          <w:tcPr/>
          <w:p>
            <w:pPr>
              <w:pStyle w:val="Compact"/>
              <w:jc w:val="right"/>
            </w:pPr>
            <w:r>
              <w:rPr>
                <w:lang w:val="en-US"/>
              </w:rPr>
              <w:t xml:space="preserve">Resolved</w:t>
            </w:r>
          </w:p>
        </w:tc>
      </w:tr>
      <w:tr>
        <w:tc>
          <w:tcPr/>
          <w:p>
            <w:pPr>
              <w:pStyle w:val="Compact"/>
              <w:jc w:val="left"/>
            </w:pPr>
            <w:r>
              <w:rPr>
                <w:lang w:val="en-US"/>
              </w:rPr>
              <w:t xml:space="preserve">Equal (0.20, 0.20)</w:t>
            </w:r>
          </w:p>
        </w:tc>
        <w:tc>
          <w:tcPr/>
          <w:p>
            <w:pPr>
              <w:pStyle w:val="Compact"/>
              <w:jc w:val="right"/>
            </w:pPr>
            <w:r>
              <w:rPr>
                <w:lang w:val="en-US"/>
              </w:rPr>
              <w:t xml:space="preserve">0.0</w:t>
            </w:r>
          </w:p>
        </w:tc>
        <w:tc>
          <w:tcPr/>
          <w:p>
            <w:pPr>
              <w:pStyle w:val="Compact"/>
              <w:jc w:val="right"/>
            </w:pPr>
            <w:r>
              <w:rPr>
                <w:lang w:val="en-US"/>
              </w:rPr>
              <w:t xml:space="preserve">0.3201</w:t>
            </w:r>
          </w:p>
        </w:tc>
        <w:tc>
          <w:tcPr/>
          <w:p>
            <w:pPr>
              <w:pStyle w:val="Compact"/>
              <w:jc w:val="right"/>
            </w:pPr>
            <w:r>
              <w:rPr>
                <w:lang w:val="en-US"/>
              </w:rPr>
              <w:t xml:space="preserve">0.3242</w:t>
            </w:r>
          </w:p>
        </w:tc>
        <w:tc>
          <w:tcPr/>
          <w:p>
            <w:pPr>
              <w:pStyle w:val="Compact"/>
              <w:jc w:val="right"/>
            </w:pPr>
            <w:r>
              <w:rPr>
                <w:lang w:val="en-US"/>
              </w:rPr>
              <w:t xml:space="preserve">0.0040</w:t>
            </w:r>
          </w:p>
        </w:tc>
        <w:tc>
          <w:tcPr/>
          <w:p>
            <w:pPr>
              <w:pStyle w:val="Compact"/>
              <w:jc w:val="right"/>
            </w:pPr>
            <w:r>
              <w:rPr>
                <w:lang w:val="en-US"/>
              </w:rPr>
              <w:t xml:space="preserve">0.0030</w:t>
            </w:r>
          </w:p>
        </w:tc>
        <w:tc>
          <w:tcPr/>
          <w:p>
            <w:pPr>
              <w:pStyle w:val="Compact"/>
              <w:jc w:val="right"/>
            </w:pPr>
            <w:r>
              <w:rPr>
                <w:lang w:val="en-US"/>
              </w:rPr>
              <w:t xml:space="preserve">6,000</w:t>
            </w:r>
          </w:p>
        </w:tc>
      </w:tr>
      <w:tr>
        <w:tc>
          <w:tcPr/>
          <w:p>
            <w:pPr>
              <w:pStyle w:val="Compact"/>
              <w:jc w:val="left"/>
            </w:pPr>
            <w:r>
              <w:rPr>
                <w:lang w:val="en-US"/>
              </w:rPr>
              <w:t xml:space="preserve">Equal (0.20, 0.20)</w:t>
            </w:r>
          </w:p>
        </w:tc>
        <w:tc>
          <w:tcPr/>
          <w:p>
            <w:pPr>
              <w:pStyle w:val="Compact"/>
              <w:jc w:val="right"/>
            </w:pPr>
            <w:r>
              <w:rPr>
                <w:lang w:val="en-US"/>
              </w:rPr>
              <w:t xml:space="preserve">0.5</w:t>
            </w:r>
          </w:p>
        </w:tc>
        <w:tc>
          <w:tcPr/>
          <w:p>
            <w:pPr>
              <w:pStyle w:val="Compact"/>
              <w:jc w:val="right"/>
            </w:pPr>
            <w:r>
              <w:rPr>
                <w:lang w:val="en-US"/>
              </w:rPr>
              <w:t xml:space="preserve">0.2679</w:t>
            </w:r>
          </w:p>
        </w:tc>
        <w:tc>
          <w:tcPr/>
          <w:p>
            <w:pPr>
              <w:pStyle w:val="Compact"/>
              <w:jc w:val="right"/>
            </w:pPr>
            <w:r>
              <w:rPr>
                <w:lang w:val="en-US"/>
              </w:rPr>
              <w:t xml:space="preserve">0.2699</w:t>
            </w:r>
          </w:p>
        </w:tc>
        <w:tc>
          <w:tcPr/>
          <w:p>
            <w:pPr>
              <w:pStyle w:val="Compact"/>
              <w:jc w:val="right"/>
            </w:pPr>
            <w:r>
              <w:rPr>
                <w:lang w:val="en-US"/>
              </w:rPr>
              <w:t xml:space="preserve">0.0021</w:t>
            </w:r>
          </w:p>
        </w:tc>
        <w:tc>
          <w:tcPr/>
          <w:p>
            <w:pPr>
              <w:pStyle w:val="Compact"/>
              <w:jc w:val="right"/>
            </w:pPr>
            <w:r>
              <w:rPr>
                <w:lang w:val="en-US"/>
              </w:rPr>
              <w:t xml:space="preserve">0.0025</w:t>
            </w:r>
          </w:p>
        </w:tc>
        <w:tc>
          <w:tcPr/>
          <w:p>
            <w:pPr>
              <w:pStyle w:val="Compact"/>
              <w:jc w:val="right"/>
            </w:pPr>
            <w:r>
              <w:rPr>
                <w:lang w:val="en-US"/>
              </w:rPr>
              <w:t xml:space="preserve">6,000</w:t>
            </w:r>
          </w:p>
        </w:tc>
      </w:tr>
      <w:tr>
        <w:tc>
          <w:tcPr/>
          <w:p>
            <w:pPr>
              <w:pStyle w:val="Compact"/>
              <w:jc w:val="left"/>
            </w:pPr>
            <w:r>
              <w:rPr>
                <w:lang w:val="en-US"/>
              </w:rPr>
              <w:t xml:space="preserve">Equal (0.20, 0.20)</w:t>
            </w:r>
          </w:p>
        </w:tc>
        <w:tc>
          <w:tcPr/>
          <w:p>
            <w:pPr>
              <w:pStyle w:val="Compact"/>
              <w:jc w:val="right"/>
            </w:pPr>
            <w:r>
              <w:rPr>
                <w:lang w:val="en-US"/>
              </w:rPr>
              <w:t xml:space="preserve">0.9</w:t>
            </w:r>
          </w:p>
        </w:tc>
        <w:tc>
          <w:tcPr/>
          <w:p>
            <w:pPr>
              <w:pStyle w:val="Compact"/>
              <w:jc w:val="right"/>
            </w:pPr>
            <w:r>
              <w:rPr>
                <w:lang w:val="en-US"/>
              </w:rPr>
              <w:t xml:space="preserve">0.2172</w:t>
            </w:r>
          </w:p>
        </w:tc>
        <w:tc>
          <w:tcPr/>
          <w:p>
            <w:pPr>
              <w:pStyle w:val="Compact"/>
              <w:jc w:val="right"/>
            </w:pPr>
            <w:r>
              <w:rPr>
                <w:lang w:val="en-US"/>
              </w:rPr>
              <w:t xml:space="preserve">0.2168</w:t>
            </w:r>
          </w:p>
        </w:tc>
        <w:tc>
          <w:tcPr/>
          <w:p>
            <w:pPr>
              <w:pStyle w:val="Compact"/>
              <w:jc w:val="right"/>
            </w:pPr>
            <w:r>
              <w:rPr>
                <w:lang w:val="en-US"/>
              </w:rPr>
              <w:t xml:space="preserve">−0.0004</w:t>
            </w:r>
          </w:p>
        </w:tc>
        <w:tc>
          <w:tcPr/>
          <w:p>
            <w:pPr>
              <w:pStyle w:val="Compact"/>
              <w:jc w:val="right"/>
            </w:pPr>
            <w:r>
              <w:rPr>
                <w:lang w:val="en-US"/>
              </w:rPr>
              <w:t xml:space="preserve">0.0020</w:t>
            </w:r>
          </w:p>
        </w:tc>
        <w:tc>
          <w:tcPr/>
          <w:p>
            <w:pPr>
              <w:pStyle w:val="Compact"/>
              <w:jc w:val="right"/>
            </w:pPr>
            <w:r>
              <w:rPr>
                <w:lang w:val="en-US"/>
              </w:rPr>
              <w:t xml:space="preserve">6,000</w:t>
            </w:r>
          </w:p>
        </w:tc>
      </w:tr>
      <w:tr>
        <w:tc>
          <w:tcPr/>
          <w:p>
            <w:pPr>
              <w:pStyle w:val="Compact"/>
              <w:jc w:val="left"/>
            </w:pPr>
            <w:r>
              <w:rPr>
                <w:lang w:val="en-US"/>
              </w:rPr>
              <w:t xml:space="preserve">Unequal (0.24, 0.20)</w:t>
            </w:r>
          </w:p>
        </w:tc>
        <w:tc>
          <w:tcPr/>
          <w:p>
            <w:pPr>
              <w:pStyle w:val="Compact"/>
              <w:jc w:val="right"/>
            </w:pPr>
            <w:r>
              <w:rPr>
                <w:lang w:val="en-US"/>
              </w:rPr>
              <w:t xml:space="preserve">0.0</w:t>
            </w:r>
          </w:p>
        </w:tc>
        <w:tc>
          <w:tcPr/>
          <w:p>
            <w:pPr>
              <w:pStyle w:val="Compact"/>
              <w:jc w:val="right"/>
            </w:pPr>
            <w:r>
              <w:rPr>
                <w:lang w:val="en-US"/>
              </w:rPr>
              <w:t xml:space="preserve">0.3201</w:t>
            </w:r>
          </w:p>
        </w:tc>
        <w:tc>
          <w:tcPr/>
          <w:p>
            <w:pPr>
              <w:pStyle w:val="Compact"/>
              <w:jc w:val="right"/>
            </w:pPr>
            <w:r>
              <w:rPr>
                <w:lang w:val="en-US"/>
              </w:rPr>
              <w:t xml:space="preserve">0.3220</w:t>
            </w:r>
          </w:p>
        </w:tc>
        <w:tc>
          <w:tcPr/>
          <w:p>
            <w:pPr>
              <w:pStyle w:val="Compact"/>
              <w:jc w:val="right"/>
            </w:pPr>
            <w:r>
              <w:rPr>
                <w:lang w:val="en-US"/>
              </w:rPr>
              <w:t xml:space="preserve">0.0018</w:t>
            </w:r>
          </w:p>
        </w:tc>
        <w:tc>
          <w:tcPr/>
          <w:p>
            <w:pPr>
              <w:pStyle w:val="Compact"/>
              <w:jc w:val="right"/>
            </w:pPr>
            <w:r>
              <w:rPr>
                <w:lang w:val="en-US"/>
              </w:rPr>
              <w:t xml:space="preserve">0.0029</w:t>
            </w:r>
          </w:p>
        </w:tc>
        <w:tc>
          <w:tcPr/>
          <w:p>
            <w:pPr>
              <w:pStyle w:val="Compact"/>
              <w:jc w:val="right"/>
            </w:pPr>
            <w:r>
              <w:rPr>
                <w:lang w:val="en-US"/>
              </w:rPr>
              <w:t xml:space="preserve">6,000</w:t>
            </w:r>
          </w:p>
        </w:tc>
      </w:tr>
      <w:tr>
        <w:tc>
          <w:tcPr/>
          <w:p>
            <w:pPr>
              <w:pStyle w:val="Compact"/>
              <w:jc w:val="left"/>
            </w:pPr>
            <w:r>
              <w:rPr>
                <w:lang w:val="en-US"/>
              </w:rPr>
              <w:t xml:space="preserve">Unequal (0.24, 0.20)</w:t>
            </w:r>
          </w:p>
        </w:tc>
        <w:tc>
          <w:tcPr/>
          <w:p>
            <w:pPr>
              <w:pStyle w:val="Compact"/>
              <w:jc w:val="right"/>
            </w:pPr>
            <w:r>
              <w:rPr>
                <w:lang w:val="en-US"/>
              </w:rPr>
              <w:t xml:space="preserve">0.5</w:t>
            </w:r>
          </w:p>
        </w:tc>
        <w:tc>
          <w:tcPr/>
          <w:p>
            <w:pPr>
              <w:pStyle w:val="Compact"/>
              <w:jc w:val="right"/>
            </w:pPr>
            <w:r>
              <w:rPr>
                <w:lang w:val="en-US"/>
              </w:rPr>
              <w:t xml:space="preserve">0.2678</w:t>
            </w:r>
          </w:p>
        </w:tc>
        <w:tc>
          <w:tcPr/>
          <w:p>
            <w:pPr>
              <w:pStyle w:val="Compact"/>
              <w:jc w:val="right"/>
            </w:pPr>
            <w:r>
              <w:rPr>
                <w:lang w:val="en-US"/>
              </w:rPr>
              <w:t xml:space="preserve">0.2685</w:t>
            </w:r>
          </w:p>
        </w:tc>
        <w:tc>
          <w:tcPr/>
          <w:p>
            <w:pPr>
              <w:pStyle w:val="Compact"/>
              <w:jc w:val="right"/>
            </w:pPr>
            <w:r>
              <w:rPr>
                <w:lang w:val="en-US"/>
              </w:rPr>
              <w:t xml:space="preserve">0.0007</w:t>
            </w:r>
          </w:p>
        </w:tc>
        <w:tc>
          <w:tcPr/>
          <w:p>
            <w:pPr>
              <w:pStyle w:val="Compact"/>
              <w:jc w:val="right"/>
            </w:pPr>
            <w:r>
              <w:rPr>
                <w:lang w:val="en-US"/>
              </w:rPr>
              <w:t xml:space="preserve">0.0025</w:t>
            </w:r>
          </w:p>
        </w:tc>
        <w:tc>
          <w:tcPr/>
          <w:p>
            <w:pPr>
              <w:pStyle w:val="Compact"/>
              <w:jc w:val="right"/>
            </w:pPr>
            <w:r>
              <w:rPr>
                <w:lang w:val="en-US"/>
              </w:rPr>
              <w:t xml:space="preserve">6,000</w:t>
            </w:r>
          </w:p>
        </w:tc>
      </w:tr>
      <w:tr>
        <w:tc>
          <w:tcPr/>
          <w:p>
            <w:pPr>
              <w:pStyle w:val="Compact"/>
              <w:jc w:val="left"/>
            </w:pPr>
            <w:r>
              <w:rPr>
                <w:lang w:val="en-US"/>
              </w:rPr>
              <w:t xml:space="preserve">Unequal (0.24, 0.20)</w:t>
            </w:r>
          </w:p>
        </w:tc>
        <w:tc>
          <w:tcPr/>
          <w:p>
            <w:pPr>
              <w:pStyle w:val="Compact"/>
              <w:jc w:val="right"/>
            </w:pPr>
            <w:r>
              <w:rPr>
                <w:lang w:val="en-US"/>
              </w:rPr>
              <w:t xml:space="preserve">0.9</w:t>
            </w:r>
          </w:p>
        </w:tc>
        <w:tc>
          <w:tcPr/>
          <w:p>
            <w:pPr>
              <w:pStyle w:val="Compact"/>
              <w:jc w:val="right"/>
            </w:pPr>
            <w:r>
              <w:rPr>
                <w:lang w:val="en-US"/>
              </w:rPr>
              <w:t xml:space="preserve">0.2172</w:t>
            </w:r>
          </w:p>
        </w:tc>
        <w:tc>
          <w:tcPr/>
          <w:p>
            <w:pPr>
              <w:pStyle w:val="Compact"/>
              <w:jc w:val="right"/>
            </w:pPr>
            <w:r>
              <w:rPr>
                <w:lang w:val="en-US"/>
              </w:rPr>
              <w:t xml:space="preserve">0.2176</w:t>
            </w:r>
          </w:p>
        </w:tc>
        <w:tc>
          <w:tcPr/>
          <w:p>
            <w:pPr>
              <w:pStyle w:val="Compact"/>
              <w:jc w:val="right"/>
            </w:pPr>
            <w:r>
              <w:rPr>
                <w:lang w:val="en-US"/>
              </w:rPr>
              <w:t xml:space="preserve">0.0004</w:t>
            </w:r>
          </w:p>
        </w:tc>
        <w:tc>
          <w:tcPr/>
          <w:p>
            <w:pPr>
              <w:pStyle w:val="Compact"/>
              <w:jc w:val="right"/>
            </w:pPr>
            <w:r>
              <w:rPr>
                <w:lang w:val="en-US"/>
              </w:rPr>
              <w:t xml:space="preserve">0.0020</w:t>
            </w:r>
          </w:p>
        </w:tc>
        <w:tc>
          <w:tcPr/>
          <w:p>
            <w:pPr>
              <w:pStyle w:val="Compact"/>
              <w:jc w:val="right"/>
            </w:pPr>
            <w:r>
              <w:rPr>
                <w:lang w:val="en-US"/>
              </w:rPr>
              <w:t xml:space="preserve">6,000</w:t>
            </w:r>
          </w:p>
        </w:tc>
      </w:tr>
    </w:tbl>
    <w:p>
      <w:pPr>
        <w:pStyle w:val="BodyText"/>
      </w:pPr>
      <w:r>
        <w:rPr>
          <w:lang w:val="en-US"/>
        </w:rPr>
        <w:t xml:space="preserve">† Approximate normal-theory MCSE, computed as the direct sample SD divided by</w:t>
      </w:r>
      <w:r>
        <w:rPr>
          <w:lang w:val="en-US"/>
        </w:rPr>
        <w:t xml:space="preserve"> </w:t>
      </w:r>
      <m:oMath>
        <m:rad>
          <m:radPr>
            <m:degHide m:val="on"/>
          </m:radPr>
          <m:deg/>
          <m:e>
            <m:r>
              <m:t>2</m:t>
            </m:r>
            <m:r>
              <m:rPr>
                <m:sty m:val="p"/>
              </m:rPr>
              <m:t>(</m:t>
            </m:r>
            <m:r>
              <m:t>n</m:t>
            </m:r>
            <m:r>
              <m:rPr>
                <m:sty m:val="p"/>
              </m:rPr>
              <m:t>−</m:t>
            </m:r>
            <m:r>
              <m:t>1</m:t>
            </m:r>
            <m:r>
              <m:rPr>
                <m:sty m:val="p"/>
              </m:rPr>
              <m:t>)</m:t>
            </m:r>
          </m:e>
        </m:rad>
      </m:oMath>
      <w:r>
        <w:rPr>
          <w:lang w:val="en-US"/>
        </w:rPr>
        <w:t xml:space="preserve">. The largest absolute difference is 1.37 times its approximate MCSE; this single simulated gap is not interpreted as a nonlinearity effect.</w:t>
      </w:r>
    </w:p>
    <w:bookmarkStart w:id="39" w:name="fig-rank-sensitivity"/>
    <w:p>
      <w:pPr>
        <w:pStyle w:val="CaptionedFigure"/>
      </w:pPr>
      <w:r>
        <w:drawing>
          <wp:inline>
            <wp:extent cx="5270500" cy="2351453"/>
            <wp:effectExtent b="0" l="0" r="0" t="0"/>
            <wp:docPr descr="Mean replicate-level Spearman rank correlation under synthetic Gaussian CPIV-space noise, by signal shape and universe size." title="" id="37" name="Picture"/>
            <a:graphic>
              <a:graphicData uri="http://schemas.openxmlformats.org/drawingml/2006/picture">
                <pic:pic>
                  <pic:nvPicPr>
                    <pic:cNvPr descr="research/cpiv/generated/cpiv_methods_note_reproduction_2026-10-12_v2/rank_sensitivity.png" id="38" name="Picture"/>
                    <pic:cNvPicPr>
                      <a:picLocks noChangeArrowheads="1" noChangeAspect="1"/>
                    </pic:cNvPicPr>
                  </pic:nvPicPr>
                  <pic:blipFill>
                    <a:blip r:embed="rId36"/>
                    <a:stretch>
                      <a:fillRect/>
                    </a:stretch>
                  </pic:blipFill>
                  <pic:spPr bwMode="auto">
                    <a:xfrm>
                      <a:off x="0" y="0"/>
                      <a:ext cx="5270500" cy="2351453"/>
                    </a:xfrm>
                    <a:prstGeom prst="rect">
                      <a:avLst/>
                    </a:prstGeom>
                    <a:noFill/>
                    <a:ln w="9525">
                      <a:noFill/>
                      <a:headEnd/>
                      <a:tailEnd/>
                    </a:ln>
                  </pic:spPr>
                </pic:pic>
              </a:graphicData>
            </a:graphic>
          </wp:inline>
        </w:drawing>
      </w:r>
    </w:p>
    <w:p>
      <w:pPr>
        <w:pStyle w:val="ImageCaption"/>
      </w:pPr>
      <w:r>
        <w:rPr>
          <w:lang w:val="en-US"/>
        </w:rPr>
        <w:t xml:space="preserve">Figure 3: Mean replicate-level Spearman rank correlation under synthetic Gaussian CPIV-space noise, by signal shape and universe size.</w:t>
      </w:r>
    </w:p>
    <w:bookmarkEnd w:id="39"/>
    <w:bookmarkEnd w:id="40"/>
    <w:bookmarkStart w:id="49" w:name="price-identification-and-tolerance"/>
    <w:p>
      <w:pPr>
        <w:pStyle w:val="Heading3"/>
      </w:pPr>
      <w:r>
        <w:rPr>
          <w:lang w:val="en-US"/>
        </w:rPr>
        <w:t xml:space="preserve">7.7 Price identification and tolerance</w:t>
      </w:r>
    </w:p>
    <w:p>
      <w:pPr>
        <w:pStyle w:val="FirstParagraph"/>
      </w:pPr>
      <w:r>
        <w:rPr>
          <w:lang w:val="en-US"/>
        </w:rPr>
        <w:t xml:space="preserve">At a hypothetical full tick</w:t>
      </w:r>
      <w:r>
        <w:rPr>
          <w:lang w:val="en-US"/>
        </w:rPr>
        <w:t xml:space="preserve"> </w:t>
      </w:r>
      <m:oMath>
        <m:r>
          <m:t>t</m:t>
        </m:r>
        <m:r>
          <m:rPr>
            <m:sty m:val="p"/>
          </m:rPr>
          <m:t>=</m:t>
        </m:r>
        <m:r>
          <m:t>0.01</m:t>
        </m:r>
      </m:oMath>
      <w:r>
        <w:rPr>
          <w:lang w:val="en-US"/>
        </w:rPr>
        <w:t xml:space="preserve"> </w:t>
      </w:r>
      <w:r>
        <w:rPr>
          <w:lang w:val="en-US"/>
        </w:rPr>
        <w:t xml:space="preserve">price units, the ATM, 30-day, 20%-IV example has vega 0.114326 currency units per IV point, giving a local full-tick shift of 0.087469 pp; exact shocks</w:t>
      </w:r>
      <w:r>
        <w:rPr>
          <w:lang w:val="en-US"/>
        </w:rPr>
        <w:t xml:space="preserve"> </w:t>
      </w:r>
      <m:oMath>
        <m:r>
          <m:t>P</m:t>
        </m:r>
        <m:r>
          <m:rPr>
            <m:sty m:val="p"/>
          </m:rPr>
          <m:t>±</m:t>
        </m:r>
        <m:r>
          <m:t>t</m:t>
        </m:r>
      </m:oMath>
      <w:r>
        <w:rPr>
          <w:lang w:val="en-US"/>
        </w:rPr>
        <w:t xml:space="preserve"> </w:t>
      </w:r>
      <w:r>
        <w:rPr>
          <w:lang w:val="en-US"/>
        </w:rPr>
        <w:t xml:space="preserve">change IV by approximately +0.087469 and −0.087469 pp. Under the illustrative worst-direction tolerance</w:t>
      </w:r>
      <w:r>
        <w:rPr>
          <w:lang w:val="en-US"/>
        </w:rPr>
        <w:t xml:space="preserve"> </w:t>
      </w:r>
      <m:oMath>
        <m:sSub>
          <m:e>
            <m:r>
              <m:t>τ</m:t>
            </m:r>
          </m:e>
          <m:sub>
            <m:r>
              <m:t>I</m:t>
            </m:r>
            <m:r>
              <m:t>V</m:t>
            </m:r>
          </m:sub>
        </m:sSub>
        <m:r>
          <m:rPr>
            <m:sty m:val="p"/>
          </m:rPr>
          <m:t>=</m:t>
        </m:r>
        <m:r>
          <m:t>0.10</m:t>
        </m:r>
      </m:oMath>
      <w:r>
        <w:rPr>
          <w:lang w:val="en-US"/>
        </w:rPr>
        <w:t xml:space="preserve"> </w:t>
      </w:r>
      <w:r>
        <w:rPr>
          <w:lang w:val="en-US"/>
        </w:rPr>
        <w:t xml:space="preserve">pp, the ATM case is identified and within tolerance; at</w:t>
      </w:r>
      <w:r>
        <w:rPr>
          <w:lang w:val="en-US"/>
        </w:rPr>
        <w:t xml:space="preserve"> </w:t>
      </w:r>
      <m:oMath>
        <m:sSub>
          <m:e>
            <m:r>
              <m:t>τ</m:t>
            </m:r>
          </m:e>
          <m:sub>
            <m:r>
              <m:t>I</m:t>
            </m:r>
            <m:r>
              <m:t>V</m:t>
            </m:r>
          </m:sub>
        </m:sSub>
        <m:r>
          <m:rPr>
            <m:sty m:val="p"/>
          </m:rPr>
          <m:t>=</m:t>
        </m:r>
        <m:r>
          <m:t>0.05</m:t>
        </m:r>
      </m:oMath>
      <w:r>
        <w:rPr>
          <w:lang w:val="en-US"/>
        </w:rPr>
        <w:t xml:space="preserve"> </w:t>
      </w:r>
      <w:r>
        <w:rPr>
          <w:lang w:val="en-US"/>
        </w:rPr>
        <w:t xml:space="preserve">pp it is identified but outside tolerance. Under nearest-tick rounding shocks</w:t>
      </w:r>
      <w:r>
        <w:rPr>
          <w:lang w:val="en-US"/>
        </w:rPr>
        <w:t xml:space="preserve"> </w:t>
      </w:r>
      <m:oMath>
        <m:r>
          <m:t>P</m:t>
        </m:r>
        <m:r>
          <m:rPr>
            <m:sty m:val="p"/>
          </m:rPr>
          <m:t>±</m:t>
        </m:r>
        <m:r>
          <m:t>t</m:t>
        </m:r>
        <m:r>
          <m:rPr>
            <m:sty m:val="p"/>
          </m:rPr>
          <m:t>/</m:t>
        </m:r>
        <m:r>
          <m:t>2</m:t>
        </m:r>
      </m:oMath>
      <w:r>
        <w:rPr>
          <w:lang w:val="en-US"/>
        </w:rPr>
        <w:t xml:space="preserve">, its maximum displacement is 0.043735 pp, so it is within both illustrative thresholds, including 0.05 pp. These are convention-dependent sensitivity classifications, not market defaults. At</w:t>
      </w:r>
      <w:r>
        <w:rPr>
          <w:lang w:val="en-US"/>
        </w:rPr>
        <w:t xml:space="preserve"> </w:t>
      </w:r>
      <m:oMath>
        <m:r>
          <m:t>S</m:t>
        </m:r>
        <m:r>
          <m:rPr>
            <m:sty m:val="p"/>
          </m:rPr>
          <m:t>/</m:t>
        </m:r>
        <m:r>
          <m:t>K</m:t>
        </m:r>
        <m:r>
          <m:rPr>
            <m:sty m:val="p"/>
          </m:rPr>
          <m:t>=</m:t>
        </m:r>
        <m:r>
          <m:t>0.8</m:t>
        </m:r>
      </m:oMath>
      <w:r>
        <w:rPr>
          <w:lang w:val="en-US"/>
        </w:rPr>
        <w:t xml:space="preserve">, 90 days, and 10% IV, the synthetic pair has</w:t>
      </w:r>
      <w:r>
        <w:rPr>
          <w:lang w:val="en-US"/>
        </w:rPr>
        <w:t xml:space="preserve"> </w:t>
      </w:r>
      <m:oMath>
        <m:r>
          <m:t>R</m:t>
        </m:r>
        <m:r>
          <m:rPr>
            <m:sty m:val="p"/>
          </m:rPr>
          <m:t>=</m:t>
        </m:r>
        <m:r>
          <m:t>0</m:t>
        </m:r>
      </m:oMath>
      <w:r>
        <w:rPr>
          <w:lang w:val="en-US"/>
        </w:rPr>
        <w:t xml:space="preserve">, so</w:t>
      </w:r>
      <w:r>
        <w:rPr>
          <w:lang w:val="en-US"/>
        </w:rPr>
        <w:t xml:space="preserve"> </w:t>
      </w:r>
      <m:oMath>
        <m:sSub>
          <m:e>
            <m:r>
              <m:t>X</m:t>
            </m:r>
          </m:e>
          <m:sub>
            <m:r>
              <m:t>C</m:t>
            </m:r>
          </m:sub>
        </m:sSub>
        <m:r>
          <m:rPr>
            <m:sty m:val="p"/>
          </m:rPr>
          <m:t>=</m:t>
        </m:r>
        <m:sSub>
          <m:e>
            <m:r>
              <m:t>X</m:t>
            </m:r>
          </m:e>
          <m:sub>
            <m:r>
              <m:t>P</m:t>
            </m:r>
          </m:sub>
        </m:sSub>
        <m:r>
          <m:rPr>
            <m:sty m:val="p"/>
          </m:rPr>
          <m:t>=</m:t>
        </m:r>
        <m:r>
          <m:t>3.177984</m:t>
        </m:r>
        <m:r>
          <m:rPr>
            <m:sty m:val="p"/>
          </m:rPr>
          <m:t>×</m:t>
        </m:r>
        <m:sSup>
          <m:e>
            <m:r>
              <m:t>10</m:t>
            </m:r>
          </m:e>
          <m:sup>
            <m:r>
              <m:rPr>
                <m:sty m:val="p"/>
              </m:rPr>
              <m:t>−</m:t>
            </m:r>
            <m:r>
              <m:t>6</m:t>
            </m:r>
          </m:sup>
        </m:sSup>
      </m:oMath>
      <w:r>
        <w:rPr>
          <w:lang w:val="en-US"/>
        </w:rPr>
        <w:t xml:space="preserve"> </w:t>
      </w:r>
      <w:r>
        <w:rPr>
          <w:lang w:val="en-US"/>
        </w:rPr>
        <w:t xml:space="preserve">price units and their minimum is below the hypothetical 0.01 tick. Vega is 7.2989×10⁻⁶ currency units per IV point, so the first-order full-tick quotient is 1,370.07 pp. This quotient is not a finite uncertainty interval: adding</w:t>
      </w:r>
      <w:r>
        <w:rPr>
          <w:lang w:val="en-US"/>
        </w:rPr>
        <w:t xml:space="preserve"> </w:t>
      </w:r>
      <m:oMath>
        <m:r>
          <m:t>t</m:t>
        </m:r>
      </m:oMath>
      <w:r>
        <w:rPr>
          <w:lang w:val="en-US"/>
        </w:rPr>
        <w:t xml:space="preserve"> </w:t>
      </w:r>
      <w:r>
        <w:rPr>
          <w:lang w:val="en-US"/>
        </w:rPr>
        <w:t xml:space="preserve">yields a +7.0717-pp IV change, while subtracting</w:t>
      </w:r>
      <w:r>
        <w:rPr>
          <w:lang w:val="en-US"/>
        </w:rPr>
        <w:t xml:space="preserve"> </w:t>
      </w:r>
      <m:oMath>
        <m:r>
          <m:t>t</m:t>
        </m:r>
      </m:oMath>
      <w:r>
        <w:rPr>
          <w:lang w:val="en-US"/>
        </w:rPr>
        <w:t xml:space="preserve"> </w:t>
      </w:r>
      <w:r>
        <w:rPr>
          <w:lang w:val="en-US"/>
        </w:rPr>
        <w:t xml:space="preserve">has no admissible root under the configured bounds. With the half-tick convention, adding</w:t>
      </w:r>
      <w:r>
        <w:rPr>
          <w:lang w:val="en-US"/>
        </w:rPr>
        <w:t xml:space="preserve"> </w:t>
      </w:r>
      <m:oMath>
        <m:r>
          <m:t>t</m:t>
        </m:r>
        <m:r>
          <m:rPr>
            <m:sty m:val="p"/>
          </m:rPr>
          <m:t>/</m:t>
        </m:r>
        <m:r>
          <m:t>2</m:t>
        </m:r>
      </m:oMath>
      <w:r>
        <w:rPr>
          <w:lang w:val="en-US"/>
        </w:rPr>
        <w:t xml:space="preserve"> </w:t>
      </w:r>
      <w:r>
        <w:rPr>
          <w:lang w:val="en-US"/>
        </w:rPr>
        <w:t xml:space="preserve">yields +5.9264 pp and subtracting</w:t>
      </w:r>
      <w:r>
        <w:rPr>
          <w:lang w:val="en-US"/>
        </w:rPr>
        <w:t xml:space="preserve"> </w:t>
      </w:r>
      <m:oMath>
        <m:r>
          <m:t>t</m:t>
        </m:r>
        <m:r>
          <m:rPr>
            <m:sty m:val="p"/>
          </m:rPr>
          <m:t>/</m:t>
        </m:r>
        <m:r>
          <m:t>2</m:t>
        </m:r>
      </m:oMath>
      <w:r>
        <w:rPr>
          <w:lang w:val="en-US"/>
        </w:rPr>
        <w:t xml:space="preserve"> </w:t>
      </w:r>
      <w:r>
        <w:rPr>
          <w:lang w:val="en-US"/>
        </w:rPr>
        <w:t xml:space="preserve">also has no root. The pair is below the</w:t>
      </w:r>
      <w:r>
        <w:rPr>
          <w:lang w:val="en-US"/>
        </w:rPr>
        <w:t xml:space="preserve"> </w:t>
      </w:r>
      <m:oMath>
        <m:r>
          <m:rPr>
            <m:sty m:val="p"/>
          </m:rPr>
          <m:t>min</m:t>
        </m:r>
        <m:r>
          <m:rPr>
            <m:sty m:val="p"/>
          </m:rPr>
          <m:t>(</m:t>
        </m:r>
        <m:sSub>
          <m:e>
            <m:r>
              <m:t>X</m:t>
            </m:r>
          </m:e>
          <m:sub>
            <m:r>
              <m:t>C</m:t>
            </m:r>
          </m:sub>
        </m:sSub>
        <m:r>
          <m:rPr>
            <m:sty m:val="p"/>
          </m:rPr>
          <m:t>,</m:t>
        </m:r>
        <m:sSub>
          <m:e>
            <m:r>
              <m:t>X</m:t>
            </m:r>
          </m:e>
          <m:sub>
            <m:r>
              <m:t>P</m:t>
            </m:r>
          </m:sub>
        </m:sSub>
        <m:r>
          <m:rPr>
            <m:sty m:val="p"/>
          </m:rPr>
          <m:t>)</m:t>
        </m:r>
      </m:oMath>
      <w:r>
        <w:rPr>
          <w:lang w:val="en-US"/>
        </w:rPr>
        <w:t xml:space="preserve"> </w:t>
      </w:r>
      <w:r>
        <w:rPr>
          <w:lang w:val="en-US"/>
        </w:rPr>
        <w:t xml:space="preserve">tick screen and has a missing negative-shock root, so it remains unresolved under both conventions and does not qualify as within either</w:t>
      </w:r>
      <w:r>
        <w:rPr>
          <w:lang w:val="en-US"/>
        </w:rPr>
        <w:t xml:space="preserve"> </w:t>
      </w:r>
      <m:oMath>
        <m:sSub>
          <m:e>
            <m:r>
              <m:t>τ</m:t>
            </m:r>
          </m:e>
          <m:sub>
            <m:r>
              <m:t>I</m:t>
            </m:r>
            <m:r>
              <m:t>V</m:t>
            </m:r>
          </m:sub>
        </m:sSub>
      </m:oMath>
      <w:r>
        <w:rPr>
          <w:lang w:val="en-US"/>
        </w:rPr>
        <w:t xml:space="preserve">, despite passing the baseline absolute-vega guard.</w:t>
      </w:r>
    </w:p>
    <w:p>
      <w:pPr>
        <w:pStyle w:val="BodyText"/>
      </w:pPr>
      <w:r>
        <w:rPr>
          <w:lang w:val="en-US"/>
        </w:rPr>
        <w:t xml:space="preserve">The deep call is out of the money and its model premium is below the hypothetical 0.01 tick; for this zero-residual synthetic pair, the put’s premium above its European lower bound is equal, so</w:t>
      </w:r>
      <w:r>
        <w:rPr>
          <w:lang w:val="en-US"/>
        </w:rPr>
        <w:t xml:space="preserve"> </w:t>
      </w:r>
      <m:oMath>
        <m:r>
          <m:rPr>
            <m:sty m:val="p"/>
          </m:rPr>
          <m:t>min</m:t>
        </m:r>
        <m:r>
          <m:rPr>
            <m:sty m:val="p"/>
          </m:rPr>
          <m:t>(</m:t>
        </m:r>
        <m:sSub>
          <m:e>
            <m:r>
              <m:t>X</m:t>
            </m:r>
          </m:e>
          <m:sub>
            <m:r>
              <m:t>C</m:t>
            </m:r>
          </m:sub>
        </m:sSub>
        <m:r>
          <m:rPr>
            <m:sty m:val="p"/>
          </m:rPr>
          <m:t>,</m:t>
        </m:r>
        <m:sSub>
          <m:e>
            <m:r>
              <m:t>X</m:t>
            </m:r>
          </m:e>
          <m:sub>
            <m:r>
              <m:t>P</m:t>
            </m:r>
          </m:sub>
        </m:sSub>
        <m:r>
          <m:rPr>
            <m:sty m:val="p"/>
          </m:rPr>
          <m:t>)</m:t>
        </m:r>
      </m:oMath>
      <w:r>
        <w:rPr>
          <w:lang w:val="en-US"/>
        </w:rPr>
        <w:t xml:space="preserve"> </w:t>
      </w:r>
      <w:r>
        <w:rPr>
          <w:lang w:val="en-US"/>
        </w:rPr>
        <w:t xml:space="preserve">is also below tick. If the displayed call quote is bid 0 and ask 0.01, its midpoint 0.005 maps to a synthetic IV of 15.92548%; the ask price 0.01 maps to 17.07114%, while a zero bid has no interior positive-IV root. Under this European BSM example, the quote endpoints therefore give only a one-sided, boundary-limited IV range from the limiting lower bound 0 to about 17.07114%, not a uniquely identified latent premium or point IV. The quote pair remains in the analysis as an unresolved partial-order observation unless its available bound alone proves an order; the missing endpoint is neither imputed nor used to drop the pair. The midpoint conversion is a quote convention, not a transaction or market observation. By definition, a pair whose minimum leg-specific OTM-equivalent time value is below the declared hypothetical tick is not identified under the finite-shock rule even when an individual shocked price has a BSM root.</w:t>
      </w:r>
    </w:p>
    <w:p>
      <w:pPr>
        <w:pStyle w:val="BodyText"/>
      </w:pPr>
      <w:r>
        <w:rPr>
          <w:lang w:val="en-US"/>
        </w:rPr>
        <w:t xml:space="preserve">With</w:t>
      </w:r>
      <w:r>
        <w:rPr>
          <w:lang w:val="en-US"/>
        </w:rPr>
        <w:t xml:space="preserve"> </w:t>
      </w:r>
      <m:oMath>
        <m:r>
          <m:t>u</m:t>
        </m:r>
        <m:r>
          <m:rPr>
            <m:sty m:val="p"/>
          </m:rPr>
          <m:t>=</m:t>
        </m:r>
        <m:sSup>
          <m:e>
            <m:r>
              <m:t>2</m:t>
            </m:r>
          </m:e>
          <m:sup>
            <m:r>
              <m:rPr>
                <m:sty m:val="p"/>
              </m:rPr>
              <m:t>−</m:t>
            </m:r>
            <m:r>
              <m:t>53</m:t>
            </m:r>
          </m:sup>
        </m:sSup>
      </m:oMath>
      <w:r>
        <w:rPr>
          <w:lang w:val="en-US"/>
        </w:rPr>
        <w:t xml:space="preserve">, the roundoff-scale local shifts at the same examples are 2.22×10⁻¹⁵ pp at the money; for the 10%-IV</w:t>
      </w:r>
      <w:r>
        <w:rPr>
          <w:lang w:val="en-US"/>
        </w:rPr>
        <w:t xml:space="preserve"> </w:t>
      </w:r>
      <m:oMath>
        <m:r>
          <m:t>S</m:t>
        </m:r>
        <m:r>
          <m:rPr>
            <m:sty m:val="p"/>
          </m:rPr>
          <m:t>/</m:t>
        </m:r>
        <m:r>
          <m:t>K</m:t>
        </m:r>
        <m:r>
          <m:rPr>
            <m:sty m:val="p"/>
          </m:rPr>
          <m:t>=</m:t>
        </m:r>
        <m:r>
          <m:t>0.8</m:t>
        </m:r>
      </m:oMath>
      <w:r>
        <w:rPr>
          <w:lang w:val="en-US"/>
        </w:rPr>
        <w:t xml:space="preserve"> </w:t>
      </w:r>
      <w:r>
        <w:rPr>
          <w:lang w:val="en-US"/>
        </w:rPr>
        <w:t xml:space="preserve">cell they are 4.83×10⁻¹⁷ pp for the call and 3.04×10⁻¹⁰ pp for the put. The leg difference arises because the roundoff-scale price perturbation is proportional to each premium. These are illustrative local perturbations, not bounds on numerical error. Figure 4 shows only tick and quote-half-spread scenarios; the single-column roundoff diagnostic remains numerical in Table 5 and the accompanying CSV rather than receiving an otherwise empty heatmap panel.</w:t>
      </w:r>
    </w:p>
    <w:p>
      <w:pPr>
        <w:pStyle w:val="BodyText"/>
      </w:pPr>
      <w:r>
        <w:rPr>
          <w:lang w:val="en-US"/>
        </w:rPr>
        <w:t xml:space="preserve">The leg-level base values and local diagnostics are in Table 5. Exact IV changes under full-tick shocks are in Table 6, and Table 7 compares full-tick and nearest-tick rounding conventions.</w:t>
      </w:r>
    </w:p>
    <w:p>
      <w:pPr>
        <w:pStyle w:val="BodyText"/>
        <w:pageBreakBefore/>
      </w:pPr>
      <w:r>
        <w:rPr>
          <w:b/>
          <w:bCs/>
          <w:lang w:val="en-US"/>
        </w:rPr>
        <w:t xml:space="preserve">Table 5.</w:t>
      </w:r>
      <w:r>
        <w:rPr>
          <w:lang w:val="en-US"/>
        </w:rPr>
        <w:t xml:space="preserve"> </w:t>
      </w:r>
      <w:r>
        <w:rPr>
          <w:lang w:val="en-US"/>
        </w:rPr>
        <w:t xml:space="preserve">Local synthetic sensitivities at</w:t>
      </w:r>
      <w:r>
        <w:rPr>
          <w:lang w:val="en-US"/>
        </w:rPr>
        <w:t xml:space="preserve"> </w:t>
      </w:r>
      <m:oMath>
        <m:r>
          <m:t>r</m:t>
        </m:r>
        <m:r>
          <m:rPr>
            <m:sty m:val="p"/>
          </m:rPr>
          <m:t>=</m:t>
        </m:r>
        <m:r>
          <m:t>q</m:t>
        </m:r>
        <m:r>
          <m:rPr>
            <m:sty m:val="p"/>
          </m:rPr>
          <m:t>=</m:t>
        </m:r>
        <m:r>
          <m:t>0</m:t>
        </m:r>
      </m:oMath>
      <w:r>
        <w:rPr>
          <w:lang w:val="en-US"/>
        </w:rPr>
        <w:t xml:space="preserve">. The full tick</w:t>
      </w:r>
      <w:r>
        <w:rPr>
          <w:lang w:val="en-US"/>
        </w:rPr>
        <w:t xml:space="preserve"> </w:t>
      </w:r>
      <m:oMath>
        <m:r>
          <m:t>t</m:t>
        </m:r>
      </m:oMath>
      <w:r>
        <w:rPr>
          <w:lang w:val="en-US"/>
        </w:rPr>
        <w:t xml:space="preserve"> </w:t>
      </w:r>
      <w:r>
        <w:rPr>
          <w:lang w:val="en-US"/>
        </w:rPr>
        <w:t xml:space="preserve">and quote half-spread are separate hypothetical 0.01 price perturbations. OTM-equivalent time value is each leg’s premium above its European lower bound; the pair screen uses</w:t>
      </w:r>
      <w:r>
        <w:rPr>
          <w:lang w:val="en-US"/>
        </w:rPr>
        <w:t xml:space="preserve"> </w:t>
      </w:r>
      <m:oMath>
        <m:r>
          <m:rPr>
            <m:sty m:val="p"/>
          </m:rPr>
          <m:t>min</m:t>
        </m:r>
        <m:r>
          <m:rPr>
            <m:sty m:val="p"/>
          </m:rPr>
          <m:t>(</m:t>
        </m:r>
        <m:sSub>
          <m:e>
            <m:r>
              <m:t>X</m:t>
            </m:r>
          </m:e>
          <m:sub>
            <m:r>
              <m:t>C</m:t>
            </m:r>
          </m:sub>
        </m:sSub>
        <m:r>
          <m:rPr>
            <m:sty m:val="p"/>
          </m:rPr>
          <m:t>,</m:t>
        </m:r>
        <m:sSub>
          <m:e>
            <m:r>
              <m:t>X</m:t>
            </m:r>
          </m:e>
          <m:sub>
            <m:r>
              <m:t>P</m:t>
            </m:r>
          </m:sub>
        </m:sSub>
        <m:r>
          <m:rPr>
            <m:sty m:val="p"/>
          </m:rPr>
          <m:t>)</m:t>
        </m:r>
      </m:oMath>
      <w:r>
        <w:rPr>
          <w:lang w:val="en-US"/>
        </w:rPr>
        <w:t xml:space="preserve">, since</w:t>
      </w:r>
      <w:r>
        <w:rPr>
          <w:lang w:val="en-US"/>
        </w:rPr>
        <w:t xml:space="preserve"> </w:t>
      </w:r>
      <m:oMath>
        <m:sSub>
          <m:e>
            <m:r>
              <m:t>X</m:t>
            </m:r>
          </m:e>
          <m:sub>
            <m:r>
              <m:t>C</m:t>
            </m:r>
          </m:sub>
        </m:sSub>
        <m:r>
          <m:rPr>
            <m:sty m:val="p"/>
          </m:rPr>
          <m:t>−</m:t>
        </m:r>
        <m:sSub>
          <m:e>
            <m:r>
              <m:t>X</m:t>
            </m:r>
          </m:e>
          <m:sub>
            <m:r>
              <m:t>P</m:t>
            </m:r>
          </m:sub>
        </m:sSub>
        <m:r>
          <m:rPr>
            <m:sty m:val="p"/>
          </m:rPr>
          <m:t>=</m:t>
        </m:r>
        <m:r>
          <m:t>R</m:t>
        </m:r>
      </m:oMath>
      <w:r>
        <w:rPr>
          <w:lang w:val="en-US"/>
        </w:rPr>
        <w:t xml:space="preserve"> </w:t>
      </w:r>
      <w:r>
        <w:rPr>
          <w:lang w:val="en-US"/>
        </w:rPr>
        <w:t xml:space="preserve">and they coincide only in the displayed zero-residual cases. The guard column reports the baseline absolute-vega check. Roundoff is a separate local diagnostic. Vega is in price units per IV percentage point; roundoff is in pp.</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080"/>
        <w:gridCol w:w="1080"/>
        <w:gridCol w:w="1080"/>
        <w:gridCol w:w="1080"/>
        <w:gridCol w:w="1080"/>
        <w:gridCol w:w="1080"/>
        <w:gridCol w:w="1440"/>
      </w:tblGrid>
      <w:tr>
        <w:trPr>
          <w:tblHeader w:val="on"/>
        </w:trPr>
        <w:tc>
          <w:tcPr/>
          <w:p>
            <w:pPr>
              <w:pStyle w:val="Compact"/>
              <w:jc w:val="left"/>
            </w:pPr>
            <w:r>
              <w:rPr>
                <w:lang w:val="en-US"/>
              </w:rPr>
              <w:t xml:space="preserve">Leg</w:t>
            </w:r>
          </w:p>
        </w:tc>
        <w:tc>
          <w:tcPr/>
          <w:p>
            <w:pPr>
              <w:pStyle w:val="Compact"/>
              <w:jc w:val="right"/>
            </w:pPr>
            <w:r>
              <w:rPr>
                <w:lang w:val="en-US"/>
              </w:rPr>
              <w:t xml:space="preserve">Leg premium</w:t>
            </w:r>
          </w:p>
        </w:tc>
        <w:tc>
          <w:tcPr/>
          <w:p>
            <w:pPr>
              <w:pStyle w:val="Compact"/>
              <w:jc w:val="right"/>
            </w:pPr>
            <w:r>
              <w:rPr>
                <w:lang w:val="en-US"/>
              </w:rPr>
              <w:t xml:space="preserve">OTM-equivalent time value (below</w:t>
            </w:r>
            <w:r>
              <w:rPr>
                <w:lang w:val="en-US"/>
              </w:rPr>
              <w:t xml:space="preserve"> </w:t>
            </w:r>
            <m:oMath>
              <m:r>
                <m:t>t</m:t>
              </m:r>
            </m:oMath>
            <w:r>
              <w:rPr>
                <w:lang w:val="en-US"/>
              </w:rPr>
              <w:t xml:space="preserve">?)</w:t>
            </w:r>
          </w:p>
        </w:tc>
        <w:tc>
          <w:tcPr/>
          <w:p>
            <w:pPr>
              <w:pStyle w:val="Compact"/>
              <w:jc w:val="right"/>
            </w:pPr>
            <w:r>
              <w:rPr>
                <w:lang w:val="en-US"/>
              </w:rPr>
              <w:t xml:space="preserve">Vega/pp</w:t>
            </w:r>
          </w:p>
        </w:tc>
        <w:tc>
          <w:tcPr/>
          <w:p>
            <w:pPr>
              <w:pStyle w:val="Compact"/>
              <w:jc w:val="right"/>
            </w:pPr>
            <w:r>
              <w:rPr>
                <w:lang w:val="en-US"/>
              </w:rPr>
              <w:t xml:space="preserve">Local tick / spread (pp)</w:t>
            </w:r>
          </w:p>
        </w:tc>
        <w:tc>
          <w:tcPr/>
          <w:p>
            <w:pPr>
              <w:pStyle w:val="Compact"/>
              <w:jc w:val="right"/>
            </w:pPr>
            <w:r>
              <w:rPr>
                <w:lang w:val="en-US"/>
              </w:rPr>
              <w:t xml:space="preserve">Roundoff (pp)</w:t>
            </w:r>
          </w:p>
        </w:tc>
        <w:tc>
          <w:tcPr/>
          <w:p>
            <w:pPr>
              <w:pStyle w:val="Compact"/>
              <w:jc w:val="center"/>
            </w:pPr>
            <w:r>
              <w:rPr>
                <w:lang w:val="en-US"/>
              </w:rPr>
              <w:t xml:space="preserve">Guard</w:t>
            </w:r>
          </w:p>
        </w:tc>
      </w:tr>
      <w:tr>
        <w:tc>
          <w:tcPr/>
          <w:p>
            <w:pPr>
              <w:pStyle w:val="Compact"/>
              <w:jc w:val="left"/>
            </w:pPr>
            <w:r>
              <w:rPr>
                <w:lang w:val="en-US"/>
              </w:rPr>
              <w:t xml:space="preserve">ATM 30d/20% call</w:t>
            </w:r>
          </w:p>
        </w:tc>
        <w:tc>
          <w:tcPr/>
          <w:p>
            <w:pPr>
              <w:pStyle w:val="Compact"/>
              <w:jc w:val="right"/>
            </w:pPr>
            <w:r>
              <w:rPr>
                <w:lang w:val="en-US"/>
              </w:rPr>
              <w:t xml:space="preserve">2.287151</w:t>
            </w:r>
          </w:p>
        </w:tc>
        <w:tc>
          <w:tcPr/>
          <w:p>
            <w:pPr>
              <w:pStyle w:val="Compact"/>
              <w:jc w:val="right"/>
            </w:pPr>
            <w:r>
              <w:rPr>
                <w:lang w:val="en-US"/>
              </w:rPr>
              <w:t xml:space="preserve">2.287151 (no)</w:t>
            </w:r>
          </w:p>
        </w:tc>
        <w:tc>
          <w:tcPr/>
          <w:p>
            <w:pPr>
              <w:pStyle w:val="Compact"/>
              <w:jc w:val="right"/>
            </w:pPr>
            <w:r>
              <w:rPr>
                <w:lang w:val="en-US"/>
              </w:rPr>
              <w:t xml:space="preserve">0.1143262</w:t>
            </w:r>
          </w:p>
        </w:tc>
        <w:tc>
          <w:tcPr/>
          <w:p>
            <w:pPr>
              <w:pStyle w:val="Compact"/>
              <w:jc w:val="right"/>
            </w:pPr>
            <w:r>
              <w:rPr>
                <w:lang w:val="en-US"/>
              </w:rPr>
              <w:t xml:space="preserve">0.087469 / 0.087469</w:t>
            </w:r>
          </w:p>
        </w:tc>
        <w:tc>
          <w:tcPr/>
          <w:p>
            <w:pPr>
              <w:pStyle w:val="Compact"/>
              <w:jc w:val="right"/>
            </w:pPr>
            <w:r>
              <w:rPr>
                <w:lang w:val="en-US"/>
              </w:rPr>
              <w:t xml:space="preserve">2.22e-15</w:t>
            </w:r>
          </w:p>
        </w:tc>
        <w:tc>
          <w:tcPr/>
          <w:p>
            <w:pPr>
              <w:pStyle w:val="Compact"/>
              <w:jc w:val="center"/>
            </w:pPr>
            <w:r>
              <w:rPr>
                <w:lang w:val="en-US"/>
              </w:rPr>
              <w:t xml:space="preserve">Pass</w:t>
            </w:r>
          </w:p>
        </w:tc>
      </w:tr>
      <w:tr>
        <w:tc>
          <w:tcPr/>
          <w:p>
            <w:pPr>
              <w:pStyle w:val="Compact"/>
              <w:jc w:val="left"/>
            </w:pPr>
            <w:r>
              <w:rPr>
                <w:lang w:val="en-US"/>
              </w:rPr>
              <w:t xml:space="preserve">ATM 30d/20% put</w:t>
            </w:r>
          </w:p>
        </w:tc>
        <w:tc>
          <w:tcPr/>
          <w:p>
            <w:pPr>
              <w:pStyle w:val="Compact"/>
              <w:jc w:val="right"/>
            </w:pPr>
            <w:r>
              <w:rPr>
                <w:lang w:val="en-US"/>
              </w:rPr>
              <w:t xml:space="preserve">2.287151</w:t>
            </w:r>
          </w:p>
        </w:tc>
        <w:tc>
          <w:tcPr/>
          <w:p>
            <w:pPr>
              <w:pStyle w:val="Compact"/>
              <w:jc w:val="right"/>
            </w:pPr>
            <w:r>
              <w:rPr>
                <w:lang w:val="en-US"/>
              </w:rPr>
              <w:t xml:space="preserve">2.287151 (no)</w:t>
            </w:r>
          </w:p>
        </w:tc>
        <w:tc>
          <w:tcPr/>
          <w:p>
            <w:pPr>
              <w:pStyle w:val="Compact"/>
              <w:jc w:val="right"/>
            </w:pPr>
            <w:r>
              <w:rPr>
                <w:lang w:val="en-US"/>
              </w:rPr>
              <w:t xml:space="preserve">0.1143262</w:t>
            </w:r>
          </w:p>
        </w:tc>
        <w:tc>
          <w:tcPr/>
          <w:p>
            <w:pPr>
              <w:pStyle w:val="Compact"/>
              <w:jc w:val="right"/>
            </w:pPr>
            <w:r>
              <w:rPr>
                <w:lang w:val="en-US"/>
              </w:rPr>
              <w:t xml:space="preserve">0.087469 / 0.087469</w:t>
            </w:r>
          </w:p>
        </w:tc>
        <w:tc>
          <w:tcPr/>
          <w:p>
            <w:pPr>
              <w:pStyle w:val="Compact"/>
              <w:jc w:val="right"/>
            </w:pPr>
            <w:r>
              <w:rPr>
                <w:lang w:val="en-US"/>
              </w:rPr>
              <w:t xml:space="preserve">2.22e-15</w:t>
            </w:r>
          </w:p>
        </w:tc>
        <w:tc>
          <w:tcPr/>
          <w:p>
            <w:pPr>
              <w:pStyle w:val="Compact"/>
              <w:jc w:val="center"/>
            </w:pPr>
            <w:r>
              <w:rPr>
                <w:lang w:val="en-US"/>
              </w:rPr>
              <w:t xml:space="preserve">Pass</w:t>
            </w:r>
          </w:p>
        </w:tc>
      </w:tr>
      <w:tr>
        <w:tc>
          <w:tcPr/>
          <w:p>
            <w:pPr>
              <w:pStyle w:val="Compact"/>
              <w:jc w:val="left"/>
            </w:pPr>
            <m:oMath>
              <m:r>
                <m:t>S</m:t>
              </m:r>
              <m:r>
                <m:rPr>
                  <m:sty m:val="p"/>
                </m:rPr>
                <m:t>/</m:t>
              </m:r>
              <m:r>
                <m:t>K</m:t>
              </m:r>
              <m:r>
                <m:rPr>
                  <m:sty m:val="p"/>
                </m:rPr>
                <m:t>=</m:t>
              </m:r>
              <m:r>
                <m:t>0.8</m:t>
              </m:r>
            </m:oMath>
            <w:r>
              <w:rPr>
                <w:lang w:val="en-US"/>
              </w:rPr>
              <w:t xml:space="preserve">, 90d/10% call</w:t>
            </w:r>
          </w:p>
        </w:tc>
        <w:tc>
          <w:tcPr/>
          <w:p>
            <w:pPr>
              <w:pStyle w:val="Compact"/>
              <w:jc w:val="right"/>
            </w:pPr>
            <w:r>
              <w:rPr>
                <w:lang w:val="en-US"/>
              </w:rPr>
              <w:t xml:space="preserve">3.178e-6</w:t>
            </w:r>
          </w:p>
        </w:tc>
        <w:tc>
          <w:tcPr/>
          <w:p>
            <w:pPr>
              <w:pStyle w:val="Compact"/>
              <w:jc w:val="right"/>
            </w:pPr>
            <w:r>
              <w:rPr>
                <w:lang w:val="en-US"/>
              </w:rPr>
              <w:t xml:space="preserve">3.178e-6 (yes)</w:t>
            </w:r>
          </w:p>
        </w:tc>
        <w:tc>
          <w:tcPr/>
          <w:p>
            <w:pPr>
              <w:pStyle w:val="Compact"/>
              <w:jc w:val="right"/>
            </w:pPr>
            <w:r>
              <w:rPr>
                <w:lang w:val="en-US"/>
              </w:rPr>
              <w:t xml:space="preserve">7.2989e-6</w:t>
            </w:r>
          </w:p>
        </w:tc>
        <w:tc>
          <w:tcPr/>
          <w:p>
            <w:pPr>
              <w:pStyle w:val="Compact"/>
              <w:jc w:val="right"/>
            </w:pPr>
            <w:r>
              <w:rPr>
                <w:lang w:val="en-US"/>
              </w:rPr>
              <w:t xml:space="preserve">1,370.07 / 1,370.07</w:t>
            </w:r>
          </w:p>
        </w:tc>
        <w:tc>
          <w:tcPr/>
          <w:p>
            <w:pPr>
              <w:pStyle w:val="Compact"/>
              <w:jc w:val="right"/>
            </w:pPr>
            <w:r>
              <w:rPr>
                <w:lang w:val="en-US"/>
              </w:rPr>
              <w:t xml:space="preserve">4.83e-17</w:t>
            </w:r>
          </w:p>
        </w:tc>
        <w:tc>
          <w:tcPr/>
          <w:p>
            <w:pPr>
              <w:pStyle w:val="Compact"/>
              <w:jc w:val="center"/>
            </w:pPr>
            <w:r>
              <w:rPr>
                <w:lang w:val="en-US"/>
              </w:rPr>
              <w:t xml:space="preserve">Pass</w:t>
            </w:r>
          </w:p>
        </w:tc>
      </w:tr>
      <w:tr>
        <w:tc>
          <w:tcPr/>
          <w:p>
            <w:pPr>
              <w:pStyle w:val="Compact"/>
              <w:jc w:val="left"/>
            </w:pPr>
            <m:oMath>
              <m:r>
                <m:t>S</m:t>
              </m:r>
              <m:r>
                <m:rPr>
                  <m:sty m:val="p"/>
                </m:rPr>
                <m:t>/</m:t>
              </m:r>
              <m:r>
                <m:t>K</m:t>
              </m:r>
              <m:r>
                <m:rPr>
                  <m:sty m:val="p"/>
                </m:rPr>
                <m:t>=</m:t>
              </m:r>
              <m:r>
                <m:t>0.8</m:t>
              </m:r>
            </m:oMath>
            <w:r>
              <w:rPr>
                <w:lang w:val="en-US"/>
              </w:rPr>
              <w:t xml:space="preserve">, 90d/10% put</w:t>
            </w:r>
          </w:p>
        </w:tc>
        <w:tc>
          <w:tcPr/>
          <w:p>
            <w:pPr>
              <w:pStyle w:val="Compact"/>
              <w:jc w:val="right"/>
            </w:pPr>
            <w:r>
              <w:rPr>
                <w:lang w:val="en-US"/>
              </w:rPr>
              <w:t xml:space="preserve">20.000003</w:t>
            </w:r>
          </w:p>
        </w:tc>
        <w:tc>
          <w:tcPr/>
          <w:p>
            <w:pPr>
              <w:pStyle w:val="Compact"/>
              <w:jc w:val="right"/>
            </w:pPr>
            <w:r>
              <w:rPr>
                <w:lang w:val="en-US"/>
              </w:rPr>
              <w:t xml:space="preserve">3.178e-6 (yes)</w:t>
            </w:r>
          </w:p>
        </w:tc>
        <w:tc>
          <w:tcPr/>
          <w:p>
            <w:pPr>
              <w:pStyle w:val="Compact"/>
              <w:jc w:val="right"/>
            </w:pPr>
            <w:r>
              <w:rPr>
                <w:lang w:val="en-US"/>
              </w:rPr>
              <w:t xml:space="preserve">7.2989e-6</w:t>
            </w:r>
          </w:p>
        </w:tc>
        <w:tc>
          <w:tcPr/>
          <w:p>
            <w:pPr>
              <w:pStyle w:val="Compact"/>
              <w:jc w:val="right"/>
            </w:pPr>
            <w:r>
              <w:rPr>
                <w:lang w:val="en-US"/>
              </w:rPr>
              <w:t xml:space="preserve">1,370.07 / 1,370.07</w:t>
            </w:r>
          </w:p>
        </w:tc>
        <w:tc>
          <w:tcPr/>
          <w:p>
            <w:pPr>
              <w:pStyle w:val="Compact"/>
              <w:jc w:val="right"/>
            </w:pPr>
            <w:r>
              <w:rPr>
                <w:lang w:val="en-US"/>
              </w:rPr>
              <w:t xml:space="preserve">3.04e-10</w:t>
            </w:r>
          </w:p>
        </w:tc>
        <w:tc>
          <w:tcPr/>
          <w:p>
            <w:pPr>
              <w:pStyle w:val="Compact"/>
              <w:jc w:val="center"/>
            </w:pPr>
            <w:r>
              <w:rPr>
                <w:lang w:val="en-US"/>
              </w:rPr>
              <w:t xml:space="preserve">Pass</w:t>
            </w:r>
          </w:p>
        </w:tc>
      </w:tr>
    </w:tbl>
    <w:p>
      <w:pPr>
        <w:pStyle w:val="BodyText"/>
        <w:pageBreakBefore/>
      </w:pPr>
      <w:r>
        <w:rPr>
          <w:b/>
          <w:bCs/>
          <w:lang w:val="en-US"/>
        </w:rPr>
        <w:t xml:space="preserve">Table 6.</w:t>
      </w:r>
      <w:r>
        <w:rPr>
          <w:lang w:val="en-US"/>
        </w:rPr>
        <w:t xml:space="preserve"> </w:t>
      </w:r>
      <w:r>
        <w:rPr>
          <w:lang w:val="en-US"/>
        </w:rPr>
        <w:t xml:space="preserve">Exact IV changes under full-tick price shocks of</w:t>
      </w:r>
      <w:r>
        <w:rPr>
          <w:lang w:val="en-US"/>
        </w:rPr>
        <w:t xml:space="preserve"> </w:t>
      </w:r>
      <m:oMath>
        <m:r>
          <m:rPr>
            <m:sty m:val="p"/>
          </m:rPr>
          <m:t>±</m:t>
        </m:r>
        <m:r>
          <m:t>0.01</m:t>
        </m:r>
      </m:oMath>
      <w:r>
        <w:rPr>
          <w:lang w:val="en-US"/>
        </w:rPr>
        <w:t xml:space="preserve"> </w:t>
      </w:r>
      <w:r>
        <w:rPr>
          <w:lang w:val="en-US"/>
        </w:rPr>
        <w:t xml:space="preserve">price units (</w:t>
      </w:r>
      <m:oMath>
        <m:r>
          <m:rPr>
            <m:sty m:val="p"/>
          </m:rPr>
          <m:t>±</m:t>
        </m:r>
        <m:r>
          <m:t>t</m:t>
        </m:r>
      </m:oMath>
      <w:r>
        <w:rPr>
          <w:lang w:val="en-US"/>
        </w:rPr>
        <w:t xml:space="preserve">); the displayed changes are in volatility percentage points (pp), not price units. The maximum is over directions with finite roots; it is partial when a direction has no root and does not qualify the case as identified.</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990"/>
        <w:gridCol w:w="990"/>
        <w:gridCol w:w="990"/>
        <w:gridCol w:w="990"/>
        <w:gridCol w:w="1320"/>
        <w:gridCol w:w="1320"/>
        <w:gridCol w:w="1320"/>
      </w:tblGrid>
      <w:tr>
        <w:trPr>
          <w:tblHeader w:val="on"/>
        </w:trPr>
        <w:tc>
          <w:tcPr/>
          <w:p>
            <w:pPr>
              <w:pStyle w:val="Compact"/>
              <w:jc w:val="left"/>
            </w:pPr>
            <w:r>
              <w:rPr>
                <w:lang w:val="en-US"/>
              </w:rPr>
              <w:t xml:space="preserve">Synthetic leg</w:t>
            </w:r>
          </w:p>
        </w:tc>
        <w:tc>
          <w:tcPr/>
          <w:p>
            <w:pPr>
              <w:pStyle w:val="Compact"/>
              <w:jc w:val="right"/>
            </w:pPr>
            <m:oMath>
              <m:r>
                <m:rPr>
                  <m:sty m:val="p"/>
                </m:rPr>
                <m:t>Δ</m:t>
              </m:r>
              <m:r>
                <m:t>I</m:t>
              </m:r>
              <m:r>
                <m:t>V</m:t>
              </m:r>
            </m:oMath>
            <w:r>
              <w:rPr>
                <w:lang w:val="en-US"/>
              </w:rPr>
              <w:t xml:space="preserve"> </w:t>
            </w:r>
            <w:r>
              <w:rPr>
                <w:lang w:val="en-US"/>
              </w:rPr>
              <w:t xml:space="preserve">for +0.01 price-unit shock (pp)</w:t>
            </w:r>
          </w:p>
        </w:tc>
        <w:tc>
          <w:tcPr/>
          <w:p>
            <w:pPr>
              <w:pStyle w:val="Compact"/>
              <w:jc w:val="right"/>
            </w:pPr>
            <m:oMath>
              <m:r>
                <m:rPr>
                  <m:sty m:val="p"/>
                </m:rPr>
                <m:t>Δ</m:t>
              </m:r>
              <m:r>
                <m:t>I</m:t>
              </m:r>
              <m:r>
                <m:t>V</m:t>
              </m:r>
            </m:oMath>
            <w:r>
              <w:rPr>
                <w:lang w:val="en-US"/>
              </w:rPr>
              <w:t xml:space="preserve"> </w:t>
            </w:r>
            <w:r>
              <w:rPr>
                <w:lang w:val="en-US"/>
              </w:rPr>
              <w:t xml:space="preserve">for −0.01 price-unit shock (pp)</w:t>
            </w:r>
          </w:p>
        </w:tc>
        <w:tc>
          <w:tcPr/>
          <w:p>
            <w:pPr>
              <w:pStyle w:val="Compact"/>
              <w:jc w:val="right"/>
            </w:pPr>
            <w:r>
              <w:rPr>
                <w:lang w:val="en-US"/>
              </w:rPr>
              <w:t xml:space="preserve">Max</w:t>
            </w:r>
            <w:r>
              <w:rPr>
                <w:lang w:val="en-US"/>
              </w:rPr>
              <w:t xml:space="preserve"> </w:t>
            </w:r>
            <m:oMath>
              <m:r>
                <m:rPr>
                  <m:sty m:val="p"/>
                </m:rPr>
                <m:t>|</m:t>
              </m:r>
              <m:r>
                <m:rPr>
                  <m:sty m:val="p"/>
                </m:rPr>
                <m:t>Δ</m:t>
              </m:r>
              <m:r>
                <m:t>I</m:t>
              </m:r>
              <m:r>
                <m:t>V</m:t>
              </m:r>
              <m:r>
                <m:rPr>
                  <m:sty m:val="p"/>
                </m:rPr>
                <m:t>|</m:t>
              </m:r>
            </m:oMath>
            <w:r>
              <w:rPr>
                <w:lang w:val="en-US"/>
              </w:rPr>
              <w:t xml:space="preserve">* (pp)</w:t>
            </w:r>
          </w:p>
        </w:tc>
        <w:tc>
          <w:tcPr/>
          <w:p>
            <w:pPr>
              <w:pStyle w:val="Compact"/>
              <w:jc w:val="center"/>
            </w:pPr>
            <w:r>
              <w:rPr>
                <w:lang w:val="en-US"/>
              </w:rPr>
              <w:t xml:space="preserve">Identified?</w:t>
            </w:r>
          </w:p>
        </w:tc>
        <w:tc>
          <w:tcPr/>
          <w:p>
            <w:pPr>
              <w:pStyle w:val="Compact"/>
              <w:jc w:val="center"/>
            </w:pPr>
            <w:r>
              <w:rPr>
                <w:lang w:val="en-US"/>
              </w:rPr>
              <w:t xml:space="preserve">Within</w:t>
            </w:r>
            <w:r>
              <w:rPr>
                <w:lang w:val="en-US"/>
              </w:rPr>
              <w:t xml:space="preserve"> </w:t>
            </w:r>
            <m:oMath>
              <m:sSub>
                <m:e>
                  <m:r>
                    <m:t>τ</m:t>
                  </m:r>
                </m:e>
                <m:sub>
                  <m:r>
                    <m:t>I</m:t>
                  </m:r>
                  <m:r>
                    <m:t>V</m:t>
                  </m:r>
                </m:sub>
              </m:sSub>
              <m:r>
                <m:rPr>
                  <m:sty m:val="p"/>
                </m:rPr>
                <m:t>=</m:t>
              </m:r>
              <m:r>
                <m:t>0.10</m:t>
              </m:r>
            </m:oMath>
            <w:r>
              <w:rPr>
                <w:lang w:val="en-US"/>
              </w:rPr>
              <w:t xml:space="preserve"> </w:t>
            </w:r>
            <w:r>
              <w:rPr>
                <w:lang w:val="en-US"/>
              </w:rPr>
              <w:t xml:space="preserve">pp?</w:t>
            </w:r>
          </w:p>
        </w:tc>
        <w:tc>
          <w:tcPr/>
          <w:p>
            <w:pPr>
              <w:pStyle w:val="Compact"/>
              <w:jc w:val="center"/>
            </w:pPr>
            <w:r>
              <w:rPr>
                <w:lang w:val="en-US"/>
              </w:rPr>
              <w:t xml:space="preserve">Within</w:t>
            </w:r>
            <w:r>
              <w:rPr>
                <w:lang w:val="en-US"/>
              </w:rPr>
              <w:t xml:space="preserve"> </w:t>
            </w:r>
            <m:oMath>
              <m:sSub>
                <m:e>
                  <m:r>
                    <m:t>τ</m:t>
                  </m:r>
                </m:e>
                <m:sub>
                  <m:r>
                    <m:t>I</m:t>
                  </m:r>
                  <m:r>
                    <m:t>V</m:t>
                  </m:r>
                </m:sub>
              </m:sSub>
              <m:r>
                <m:rPr>
                  <m:sty m:val="p"/>
                </m:rPr>
                <m:t>=</m:t>
              </m:r>
              <m:r>
                <m:t>0.05</m:t>
              </m:r>
            </m:oMath>
            <w:r>
              <w:rPr>
                <w:lang w:val="en-US"/>
              </w:rPr>
              <w:t xml:space="preserve"> </w:t>
            </w:r>
            <w:r>
              <w:rPr>
                <w:lang w:val="en-US"/>
              </w:rPr>
              <w:t xml:space="preserve">pp?</w:t>
            </w:r>
          </w:p>
        </w:tc>
      </w:tr>
      <w:tr>
        <w:tc>
          <w:tcPr/>
          <w:p>
            <w:pPr>
              <w:pStyle w:val="Compact"/>
              <w:jc w:val="left"/>
            </w:pPr>
            <w:r>
              <w:rPr>
                <w:lang w:val="en-US"/>
              </w:rPr>
              <w:t xml:space="preserve">ATM 30d/20% call</w:t>
            </w:r>
          </w:p>
        </w:tc>
        <w:tc>
          <w:tcPr/>
          <w:p>
            <w:pPr>
              <w:pStyle w:val="Compact"/>
              <w:jc w:val="right"/>
            </w:pPr>
            <w:r>
              <w:rPr>
                <w:lang w:val="en-US"/>
              </w:rPr>
              <w:t xml:space="preserve">+0.0875</w:t>
            </w:r>
          </w:p>
        </w:tc>
        <w:tc>
          <w:tcPr/>
          <w:p>
            <w:pPr>
              <w:pStyle w:val="Compact"/>
              <w:jc w:val="right"/>
            </w:pPr>
            <w:r>
              <w:rPr>
                <w:lang w:val="en-US"/>
              </w:rPr>
              <w:t xml:space="preserve">−0.0875</w:t>
            </w:r>
          </w:p>
        </w:tc>
        <w:tc>
          <w:tcPr/>
          <w:p>
            <w:pPr>
              <w:pStyle w:val="Compact"/>
              <w:jc w:val="right"/>
            </w:pPr>
            <w:r>
              <w:rPr>
                <w:lang w:val="en-US"/>
              </w:rPr>
              <w:t xml:space="preserve">0.0875</w:t>
            </w:r>
          </w:p>
        </w:tc>
        <w:tc>
          <w:tcPr/>
          <w:p>
            <w:pPr>
              <w:pStyle w:val="Compact"/>
              <w:jc w:val="center"/>
            </w:pPr>
            <w:r>
              <w:rPr>
                <w:lang w:val="en-US"/>
              </w:rPr>
              <w:t xml:space="preserve">Yes</w:t>
            </w:r>
          </w:p>
        </w:tc>
        <w:tc>
          <w:tcPr/>
          <w:p>
            <w:pPr>
              <w:pStyle w:val="Compact"/>
              <w:jc w:val="center"/>
            </w:pPr>
            <w:r>
              <w:rPr>
                <w:lang w:val="en-US"/>
              </w:rPr>
              <w:t xml:space="preserve">Yes</w:t>
            </w:r>
          </w:p>
        </w:tc>
        <w:tc>
          <w:tcPr/>
          <w:p>
            <w:pPr>
              <w:pStyle w:val="Compact"/>
              <w:jc w:val="center"/>
            </w:pPr>
            <w:r>
              <w:rPr>
                <w:lang w:val="en-US"/>
              </w:rPr>
              <w:t xml:space="preserve">No</w:t>
            </w:r>
          </w:p>
        </w:tc>
      </w:tr>
      <w:tr>
        <w:tc>
          <w:tcPr/>
          <w:p>
            <w:pPr>
              <w:pStyle w:val="Compact"/>
              <w:jc w:val="left"/>
            </w:pPr>
            <w:r>
              <w:rPr>
                <w:lang w:val="en-US"/>
              </w:rPr>
              <w:t xml:space="preserve">ATM 30d/20% put</w:t>
            </w:r>
          </w:p>
        </w:tc>
        <w:tc>
          <w:tcPr/>
          <w:p>
            <w:pPr>
              <w:pStyle w:val="Compact"/>
              <w:jc w:val="right"/>
            </w:pPr>
            <w:r>
              <w:rPr>
                <w:lang w:val="en-US"/>
              </w:rPr>
              <w:t xml:space="preserve">+0.0875</w:t>
            </w:r>
          </w:p>
        </w:tc>
        <w:tc>
          <w:tcPr/>
          <w:p>
            <w:pPr>
              <w:pStyle w:val="Compact"/>
              <w:jc w:val="right"/>
            </w:pPr>
            <w:r>
              <w:rPr>
                <w:lang w:val="en-US"/>
              </w:rPr>
              <w:t xml:space="preserve">−0.0875</w:t>
            </w:r>
          </w:p>
        </w:tc>
        <w:tc>
          <w:tcPr/>
          <w:p>
            <w:pPr>
              <w:pStyle w:val="Compact"/>
              <w:jc w:val="right"/>
            </w:pPr>
            <w:r>
              <w:rPr>
                <w:lang w:val="en-US"/>
              </w:rPr>
              <w:t xml:space="preserve">0.0875</w:t>
            </w:r>
          </w:p>
        </w:tc>
        <w:tc>
          <w:tcPr/>
          <w:p>
            <w:pPr>
              <w:pStyle w:val="Compact"/>
              <w:jc w:val="center"/>
            </w:pPr>
            <w:r>
              <w:rPr>
                <w:lang w:val="en-US"/>
              </w:rPr>
              <w:t xml:space="preserve">Yes</w:t>
            </w:r>
          </w:p>
        </w:tc>
        <w:tc>
          <w:tcPr/>
          <w:p>
            <w:pPr>
              <w:pStyle w:val="Compact"/>
              <w:jc w:val="center"/>
            </w:pPr>
            <w:r>
              <w:rPr>
                <w:lang w:val="en-US"/>
              </w:rPr>
              <w:t xml:space="preserve">Yes</w:t>
            </w:r>
          </w:p>
        </w:tc>
        <w:tc>
          <w:tcPr/>
          <w:p>
            <w:pPr>
              <w:pStyle w:val="Compact"/>
              <w:jc w:val="center"/>
            </w:pPr>
            <w:r>
              <w:rPr>
                <w:lang w:val="en-US"/>
              </w:rPr>
              <w:t xml:space="preserve">No</w:t>
            </w:r>
          </w:p>
        </w:tc>
      </w:tr>
      <w:tr>
        <w:tc>
          <w:tcPr/>
          <w:p>
            <w:pPr>
              <w:pStyle w:val="Compact"/>
              <w:jc w:val="left"/>
            </w:pPr>
            <m:oMath>
              <m:r>
                <m:t>S</m:t>
              </m:r>
              <m:r>
                <m:rPr>
                  <m:sty m:val="p"/>
                </m:rPr>
                <m:t>/</m:t>
              </m:r>
              <m:r>
                <m:t>K</m:t>
              </m:r>
              <m:r>
                <m:rPr>
                  <m:sty m:val="p"/>
                </m:rPr>
                <m:t>=</m:t>
              </m:r>
              <m:r>
                <m:t>0.8</m:t>
              </m:r>
            </m:oMath>
            <w:r>
              <w:rPr>
                <w:lang w:val="en-US"/>
              </w:rPr>
              <w:t xml:space="preserve">, 90d/10% call</w:t>
            </w:r>
          </w:p>
        </w:tc>
        <w:tc>
          <w:tcPr/>
          <w:p>
            <w:pPr>
              <w:pStyle w:val="Compact"/>
              <w:jc w:val="right"/>
            </w:pPr>
            <w:r>
              <w:rPr>
                <w:lang w:val="en-US"/>
              </w:rPr>
              <w:t xml:space="preserve">+7.0717</w:t>
            </w:r>
          </w:p>
        </w:tc>
        <w:tc>
          <w:tcPr/>
          <w:p>
            <w:pPr>
              <w:pStyle w:val="Compact"/>
              <w:jc w:val="right"/>
            </w:pPr>
            <w:r>
              <w:rPr>
                <w:lang w:val="en-US"/>
              </w:rPr>
              <w:t xml:space="preserve">No root</w:t>
            </w:r>
          </w:p>
        </w:tc>
        <w:tc>
          <w:tcPr/>
          <w:p>
            <w:pPr>
              <w:pStyle w:val="Compact"/>
              <w:jc w:val="right"/>
            </w:pPr>
            <w:r>
              <w:rPr>
                <w:lang w:val="en-US"/>
              </w:rPr>
              <w:t xml:space="preserve">Partial: 7.0717</w:t>
            </w:r>
          </w:p>
        </w:tc>
        <w:tc>
          <w:tcPr/>
          <w:p>
            <w:pPr>
              <w:pStyle w:val="Compact"/>
              <w:jc w:val="center"/>
            </w:pPr>
            <w:r>
              <w:rPr>
                <w:lang w:val="en-US"/>
              </w:rPr>
              <w:t xml:space="preserve">No: OTM-equivalent value below tick</w:t>
            </w:r>
          </w:p>
        </w:tc>
        <w:tc>
          <w:tcPr/>
          <w:p>
            <w:pPr>
              <w:pStyle w:val="Compact"/>
              <w:jc w:val="center"/>
            </w:pPr>
            <w:r>
              <w:rPr>
                <w:lang w:val="en-US"/>
              </w:rPr>
              <w:t xml:space="preserve">Unresolved</w:t>
            </w:r>
          </w:p>
        </w:tc>
        <w:tc>
          <w:tcPr/>
          <w:p>
            <w:pPr>
              <w:pStyle w:val="Compact"/>
              <w:jc w:val="center"/>
            </w:pPr>
            <w:r>
              <w:rPr>
                <w:lang w:val="en-US"/>
              </w:rPr>
              <w:t xml:space="preserve">Unresolved</w:t>
            </w:r>
          </w:p>
        </w:tc>
      </w:tr>
      <w:tr>
        <w:tc>
          <w:tcPr/>
          <w:p>
            <w:pPr>
              <w:pStyle w:val="Compact"/>
              <w:jc w:val="left"/>
            </w:pPr>
            <m:oMath>
              <m:r>
                <m:t>S</m:t>
              </m:r>
              <m:r>
                <m:rPr>
                  <m:sty m:val="p"/>
                </m:rPr>
                <m:t>/</m:t>
              </m:r>
              <m:r>
                <m:t>K</m:t>
              </m:r>
              <m:r>
                <m:rPr>
                  <m:sty m:val="p"/>
                </m:rPr>
                <m:t>=</m:t>
              </m:r>
              <m:r>
                <m:t>0.8</m:t>
              </m:r>
            </m:oMath>
            <w:r>
              <w:rPr>
                <w:lang w:val="en-US"/>
              </w:rPr>
              <w:t xml:space="preserve">, 90d/10% put</w:t>
            </w:r>
          </w:p>
        </w:tc>
        <w:tc>
          <w:tcPr/>
          <w:p>
            <w:pPr>
              <w:pStyle w:val="Compact"/>
              <w:jc w:val="right"/>
            </w:pPr>
            <w:r>
              <w:rPr>
                <w:lang w:val="en-US"/>
              </w:rPr>
              <w:t xml:space="preserve">+7.0717</w:t>
            </w:r>
          </w:p>
        </w:tc>
        <w:tc>
          <w:tcPr/>
          <w:p>
            <w:pPr>
              <w:pStyle w:val="Compact"/>
              <w:jc w:val="right"/>
            </w:pPr>
            <w:r>
              <w:rPr>
                <w:lang w:val="en-US"/>
              </w:rPr>
              <w:t xml:space="preserve">No root</w:t>
            </w:r>
          </w:p>
        </w:tc>
        <w:tc>
          <w:tcPr/>
          <w:p>
            <w:pPr>
              <w:pStyle w:val="Compact"/>
              <w:jc w:val="right"/>
            </w:pPr>
            <w:r>
              <w:rPr>
                <w:lang w:val="en-US"/>
              </w:rPr>
              <w:t xml:space="preserve">Partial: 7.0717</w:t>
            </w:r>
          </w:p>
        </w:tc>
        <w:tc>
          <w:tcPr/>
          <w:p>
            <w:pPr>
              <w:pStyle w:val="Compact"/>
              <w:jc w:val="center"/>
            </w:pPr>
            <w:r>
              <w:rPr>
                <w:lang w:val="en-US"/>
              </w:rPr>
              <w:t xml:space="preserve">No: OTM-equivalent value below tick</w:t>
            </w:r>
          </w:p>
        </w:tc>
        <w:tc>
          <w:tcPr/>
          <w:p>
            <w:pPr>
              <w:pStyle w:val="Compact"/>
              <w:jc w:val="center"/>
            </w:pPr>
            <w:r>
              <w:rPr>
                <w:lang w:val="en-US"/>
              </w:rPr>
              <w:t xml:space="preserve">Unresolved</w:t>
            </w:r>
          </w:p>
        </w:tc>
        <w:tc>
          <w:tcPr/>
          <w:p>
            <w:pPr>
              <w:pStyle w:val="Compact"/>
              <w:jc w:val="center"/>
            </w:pPr>
            <w:r>
              <w:rPr>
                <w:lang w:val="en-US"/>
              </w:rPr>
              <w:t xml:space="preserve">Unresolved</w:t>
            </w:r>
          </w:p>
        </w:tc>
      </w:tr>
    </w:tbl>
    <w:p>
      <w:pPr>
        <w:pStyle w:val="BodyText"/>
        <w:pageBreakBefore/>
      </w:pPr>
      <w:r>
        <w:rPr>
          <w:b/>
          <w:bCs/>
          <w:lang w:val="en-US"/>
        </w:rPr>
        <w:t xml:space="preserve">Table 7.</w:t>
      </w:r>
      <w:r>
        <w:rPr>
          <w:lang w:val="en-US"/>
        </w:rPr>
        <w:t xml:space="preserve"> </w:t>
      </w:r>
      <w:r>
        <w:rPr>
          <w:lang w:val="en-US"/>
        </w:rPr>
        <w:t xml:space="preserve">Sensitivity to the price-shock convention for matched call–put pairs. Full-tick shocks are</w:t>
      </w:r>
      <w:r>
        <w:rPr>
          <w:lang w:val="en-US"/>
        </w:rPr>
        <w:t xml:space="preserve"> </w:t>
      </w:r>
      <m:oMath>
        <m:r>
          <m:rPr>
            <m:sty m:val="p"/>
          </m:rPr>
          <m:t>±</m:t>
        </m:r>
        <m:r>
          <m:t>t</m:t>
        </m:r>
      </m:oMath>
      <w:r>
        <w:rPr>
          <w:lang w:val="en-US"/>
        </w:rPr>
        <w:t xml:space="preserve">; nearest-tick rounding shocks are</w:t>
      </w:r>
      <w:r>
        <w:rPr>
          <w:lang w:val="en-US"/>
        </w:rPr>
        <w:t xml:space="preserve"> </w:t>
      </w:r>
      <m:oMath>
        <m:r>
          <m:rPr>
            <m:sty m:val="p"/>
          </m:rPr>
          <m:t>±</m:t>
        </m:r>
        <m:r>
          <m:t>t</m:t>
        </m:r>
        <m:r>
          <m:rPr>
            <m:sty m:val="p"/>
          </m:rPr>
          <m:t>/</m:t>
        </m:r>
        <m:r>
          <m:t>2</m:t>
        </m:r>
      </m:oMath>
      <w:r>
        <w:rPr>
          <w:lang w:val="en-US"/>
        </w:rPr>
        <w:t xml:space="preserve">. Price changes are in price units and IV changes in pp. Call and put results coincide in these parity-matched examples. For unresolved cases, the maximum is partial and neither tolerance is certified.</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jc w:val="left"/>
            </w:pPr>
            <w:r>
              <w:rPr>
                <w:lang w:val="en-US"/>
              </w:rPr>
              <w:t xml:space="preserve">Matched call–put case</w:t>
            </w:r>
          </w:p>
        </w:tc>
        <w:tc>
          <w:tcPr/>
          <w:p>
            <w:pPr>
              <w:pStyle w:val="Compact"/>
              <w:jc w:val="left"/>
            </w:pPr>
            <w:r>
              <w:rPr>
                <w:lang w:val="en-US"/>
              </w:rPr>
              <w:t xml:space="preserve">Price-shock convention</w:t>
            </w:r>
          </w:p>
        </w:tc>
        <w:tc>
          <w:tcPr/>
          <w:p>
            <w:pPr>
              <w:pStyle w:val="Compact"/>
              <w:jc w:val="right"/>
            </w:pPr>
            <m:oMath>
              <m:r>
                <m:rPr>
                  <m:sty m:val="p"/>
                </m:rPr>
                <m:t>Δ</m:t>
              </m:r>
              <m:r>
                <m:t>I</m:t>
              </m:r>
              <m:r>
                <m:t>V</m:t>
              </m:r>
            </m:oMath>
            <w:r>
              <w:rPr>
                <w:lang w:val="en-US"/>
              </w:rPr>
              <w:t xml:space="preserve"> </w:t>
            </w:r>
            <w:r>
              <w:rPr>
                <w:lang w:val="en-US"/>
              </w:rPr>
              <w:t xml:space="preserve">after positive price shock (pp)</w:t>
            </w:r>
          </w:p>
        </w:tc>
        <w:tc>
          <w:tcPr/>
          <w:p>
            <w:pPr>
              <w:pStyle w:val="Compact"/>
              <w:jc w:val="right"/>
            </w:pPr>
            <m:oMath>
              <m:r>
                <m:rPr>
                  <m:sty m:val="p"/>
                </m:rPr>
                <m:t>Δ</m:t>
              </m:r>
              <m:r>
                <m:t>I</m:t>
              </m:r>
              <m:r>
                <m:t>V</m:t>
              </m:r>
            </m:oMath>
            <w:r>
              <w:rPr>
                <w:lang w:val="en-US"/>
              </w:rPr>
              <w:t xml:space="preserve"> </w:t>
            </w:r>
            <w:r>
              <w:rPr>
                <w:lang w:val="en-US"/>
              </w:rPr>
              <w:t xml:space="preserve">after negative price shock (pp)</w:t>
            </w:r>
          </w:p>
        </w:tc>
        <w:tc>
          <w:tcPr/>
          <w:p>
            <w:pPr>
              <w:pStyle w:val="Compact"/>
              <w:jc w:val="right"/>
            </w:pPr>
            <w:r>
              <w:rPr>
                <w:lang w:val="en-US"/>
              </w:rPr>
              <w:t xml:space="preserve">Maximum available</w:t>
            </w:r>
            <w:r>
              <w:rPr>
                <w:lang w:val="en-US"/>
              </w:rPr>
              <w:t xml:space="preserve"> </w:t>
            </w:r>
            <m:oMath>
              <m:r>
                <m:rPr>
                  <m:sty m:val="p"/>
                </m:rPr>
                <m:t>|</m:t>
              </m:r>
              <m:r>
                <m:rPr>
                  <m:sty m:val="p"/>
                </m:rPr>
                <m:t>Δ</m:t>
              </m:r>
              <m:r>
                <m:t>I</m:t>
              </m:r>
              <m:r>
                <m:t>V</m:t>
              </m:r>
              <m:r>
                <m:rPr>
                  <m:sty m:val="p"/>
                </m:rPr>
                <m:t>|</m:t>
              </m:r>
            </m:oMath>
            <w:r>
              <w:rPr>
                <w:lang w:val="en-US"/>
              </w:rPr>
              <w:t xml:space="preserve"> </w:t>
            </w:r>
            <w:r>
              <w:rPr>
                <w:lang w:val="en-US"/>
              </w:rPr>
              <w:t xml:space="preserve">(pp)</w:t>
            </w:r>
          </w:p>
        </w:tc>
        <w:tc>
          <w:tcPr/>
          <w:p>
            <w:pPr>
              <w:pStyle w:val="Compact"/>
              <w:jc w:val="center"/>
            </w:pPr>
            <w:r>
              <w:rPr>
                <w:lang w:val="en-US"/>
              </w:rPr>
              <w:t xml:space="preserve">Within</w:t>
            </w:r>
            <w:r>
              <w:rPr>
                <w:lang w:val="en-US"/>
              </w:rPr>
              <w:t xml:space="preserve"> </w:t>
            </w:r>
            <m:oMath>
              <m:sSub>
                <m:e>
                  <m:r>
                    <m:t>τ</m:t>
                  </m:r>
                </m:e>
                <m:sub>
                  <m:r>
                    <m:t>I</m:t>
                  </m:r>
                  <m:r>
                    <m:t>V</m:t>
                  </m:r>
                </m:sub>
              </m:sSub>
              <m:r>
                <m:rPr>
                  <m:sty m:val="p"/>
                </m:rPr>
                <m:t>=</m:t>
              </m:r>
              <m:r>
                <m:t>0.10</m:t>
              </m:r>
              <m:r>
                <m:rPr>
                  <m:sty m:val="p"/>
                </m:rPr>
                <m:t>/</m:t>
              </m:r>
              <m:r>
                <m:t>0.05</m:t>
              </m:r>
            </m:oMath>
            <w:r>
              <w:rPr>
                <w:lang w:val="en-US"/>
              </w:rPr>
              <w:t xml:space="preserve"> </w:t>
            </w:r>
            <w:r>
              <w:rPr>
                <w:lang w:val="en-US"/>
              </w:rPr>
              <w:t xml:space="preserve">pp?</w:t>
            </w:r>
          </w:p>
        </w:tc>
      </w:tr>
      <w:tr>
        <w:tc>
          <w:tcPr/>
          <w:p>
            <w:pPr>
              <w:pStyle w:val="Compact"/>
              <w:jc w:val="left"/>
            </w:pPr>
            <w:r>
              <w:rPr>
                <w:lang w:val="en-US"/>
              </w:rPr>
              <w:t xml:space="preserve">ATM 30d/20%</w:t>
            </w:r>
          </w:p>
        </w:tc>
        <w:tc>
          <w:tcPr/>
          <w:p>
            <w:pPr>
              <w:pStyle w:val="Compact"/>
              <w:jc w:val="left"/>
            </w:pPr>
            <m:oMath>
              <m:r>
                <m:rPr>
                  <m:sty m:val="p"/>
                </m:rPr>
                <m:t>±</m:t>
              </m:r>
              <m:r>
                <m:t>t</m:t>
              </m:r>
              <m:r>
                <m:rPr>
                  <m:sty m:val="p"/>
                </m:rPr>
                <m:t>=</m:t>
              </m:r>
              <m:r>
                <m:rPr>
                  <m:sty m:val="p"/>
                </m:rPr>
                <m:t>±</m:t>
              </m:r>
              <m:r>
                <m:t>0.01</m:t>
              </m:r>
            </m:oMath>
            <w:r>
              <w:rPr>
                <w:lang w:val="en-US"/>
              </w:rPr>
              <w:t xml:space="preserve">​</w:t>
            </w:r>
          </w:p>
        </w:tc>
        <w:tc>
          <w:tcPr/>
          <w:p>
            <w:pPr>
              <w:pStyle w:val="Compact"/>
              <w:jc w:val="right"/>
            </w:pPr>
            <w:r>
              <w:rPr>
                <w:lang w:val="en-US"/>
              </w:rPr>
              <w:t xml:space="preserve">+0.087469</w:t>
            </w:r>
          </w:p>
        </w:tc>
        <w:tc>
          <w:tcPr/>
          <w:p>
            <w:pPr>
              <w:pStyle w:val="Compact"/>
              <w:jc w:val="right"/>
            </w:pPr>
            <w:r>
              <w:rPr>
                <w:lang w:val="en-US"/>
              </w:rPr>
              <w:t xml:space="preserve">−0.087469</w:t>
            </w:r>
          </w:p>
        </w:tc>
        <w:tc>
          <w:tcPr/>
          <w:p>
            <w:pPr>
              <w:pStyle w:val="Compact"/>
              <w:jc w:val="right"/>
            </w:pPr>
            <w:r>
              <w:rPr>
                <w:lang w:val="en-US"/>
              </w:rPr>
              <w:t xml:space="preserve">0.087469</w:t>
            </w:r>
          </w:p>
        </w:tc>
        <w:tc>
          <w:tcPr/>
          <w:p>
            <w:pPr>
              <w:pStyle w:val="Compact"/>
              <w:jc w:val="center"/>
            </w:pPr>
            <w:r>
              <w:rPr>
                <w:lang w:val="en-US"/>
              </w:rPr>
              <w:t xml:space="preserve">Yes / No</w:t>
            </w:r>
          </w:p>
        </w:tc>
      </w:tr>
      <w:tr>
        <w:tc>
          <w:tcPr/>
          <w:p>
            <w:pPr>
              <w:pStyle w:val="Compact"/>
              <w:jc w:val="left"/>
            </w:pPr>
            <w:r>
              <w:rPr>
                <w:lang w:val="en-US"/>
              </w:rPr>
              <w:t xml:space="preserve">ATM 30d/20%</w:t>
            </w:r>
          </w:p>
        </w:tc>
        <w:tc>
          <w:tcPr/>
          <w:p>
            <w:pPr>
              <w:pStyle w:val="Compact"/>
              <w:jc w:val="left"/>
            </w:pPr>
            <m:oMath>
              <m:r>
                <m:rPr>
                  <m:sty m:val="p"/>
                </m:rPr>
                <m:t>±</m:t>
              </m:r>
              <m:r>
                <m:t>t</m:t>
              </m:r>
              <m:r>
                <m:rPr>
                  <m:sty m:val="p"/>
                </m:rPr>
                <m:t>/</m:t>
              </m:r>
              <m:r>
                <m:t>2</m:t>
              </m:r>
              <m:r>
                <m:rPr>
                  <m:sty m:val="p"/>
                </m:rPr>
                <m:t>=</m:t>
              </m:r>
              <m:r>
                <m:rPr>
                  <m:sty m:val="p"/>
                </m:rPr>
                <m:t>±</m:t>
              </m:r>
              <m:r>
                <m:t>0.005</m:t>
              </m:r>
            </m:oMath>
            <w:r>
              <w:rPr>
                <w:lang w:val="en-US"/>
              </w:rPr>
              <w:t xml:space="preserve">​</w:t>
            </w:r>
          </w:p>
        </w:tc>
        <w:tc>
          <w:tcPr/>
          <w:p>
            <w:pPr>
              <w:pStyle w:val="Compact"/>
              <w:jc w:val="right"/>
            </w:pPr>
            <w:r>
              <w:rPr>
                <w:lang w:val="en-US"/>
              </w:rPr>
              <w:t xml:space="preserve">+0.043735</w:t>
            </w:r>
          </w:p>
        </w:tc>
        <w:tc>
          <w:tcPr/>
          <w:p>
            <w:pPr>
              <w:pStyle w:val="Compact"/>
              <w:jc w:val="right"/>
            </w:pPr>
            <w:r>
              <w:rPr>
                <w:lang w:val="en-US"/>
              </w:rPr>
              <w:t xml:space="preserve">−0.043735</w:t>
            </w:r>
          </w:p>
        </w:tc>
        <w:tc>
          <w:tcPr/>
          <w:p>
            <w:pPr>
              <w:pStyle w:val="Compact"/>
              <w:jc w:val="right"/>
            </w:pPr>
            <w:r>
              <w:rPr>
                <w:lang w:val="en-US"/>
              </w:rPr>
              <w:t xml:space="preserve">0.043735</w:t>
            </w:r>
          </w:p>
        </w:tc>
        <w:tc>
          <w:tcPr/>
          <w:p>
            <w:pPr>
              <w:pStyle w:val="Compact"/>
              <w:jc w:val="center"/>
            </w:pPr>
            <w:r>
              <w:rPr>
                <w:lang w:val="en-US"/>
              </w:rPr>
              <w:t xml:space="preserve">Yes / Yes</w:t>
            </w:r>
          </w:p>
        </w:tc>
      </w:tr>
      <w:tr>
        <w:tc>
          <w:tcPr/>
          <w:p>
            <w:pPr>
              <w:pStyle w:val="Compact"/>
              <w:jc w:val="left"/>
            </w:pPr>
            <m:oMath>
              <m:r>
                <m:t>S</m:t>
              </m:r>
              <m:r>
                <m:rPr>
                  <m:sty m:val="p"/>
                </m:rPr>
                <m:t>/</m:t>
              </m:r>
              <m:r>
                <m:t>K</m:t>
              </m:r>
              <m:r>
                <m:rPr>
                  <m:sty m:val="p"/>
                </m:rPr>
                <m:t>=</m:t>
              </m:r>
              <m:r>
                <m:t>0.8</m:t>
              </m:r>
            </m:oMath>
            <w:r>
              <w:rPr>
                <w:lang w:val="en-US"/>
              </w:rPr>
              <w:t xml:space="preserve">, 90d/10%</w:t>
            </w:r>
          </w:p>
        </w:tc>
        <w:tc>
          <w:tcPr/>
          <w:p>
            <w:pPr>
              <w:pStyle w:val="Compact"/>
              <w:jc w:val="left"/>
            </w:pPr>
            <m:oMath>
              <m:r>
                <m:rPr>
                  <m:sty m:val="p"/>
                </m:rPr>
                <m:t>±</m:t>
              </m:r>
              <m:r>
                <m:t>t</m:t>
              </m:r>
              <m:r>
                <m:rPr>
                  <m:sty m:val="p"/>
                </m:rPr>
                <m:t>=</m:t>
              </m:r>
              <m:r>
                <m:rPr>
                  <m:sty m:val="p"/>
                </m:rPr>
                <m:t>±</m:t>
              </m:r>
              <m:r>
                <m:t>0.01</m:t>
              </m:r>
            </m:oMath>
            <w:r>
              <w:rPr>
                <w:lang w:val="en-US"/>
              </w:rPr>
              <w:t xml:space="preserve">​</w:t>
            </w:r>
          </w:p>
        </w:tc>
        <w:tc>
          <w:tcPr/>
          <w:p>
            <w:pPr>
              <w:pStyle w:val="Compact"/>
              <w:jc w:val="right"/>
            </w:pPr>
            <w:r>
              <w:rPr>
                <w:lang w:val="en-US"/>
              </w:rPr>
              <w:t xml:space="preserve">+7.0717</w:t>
            </w:r>
          </w:p>
        </w:tc>
        <w:tc>
          <w:tcPr/>
          <w:p>
            <w:pPr>
              <w:pStyle w:val="Compact"/>
              <w:jc w:val="right"/>
            </w:pPr>
            <w:r>
              <w:rPr>
                <w:lang w:val="en-US"/>
              </w:rPr>
              <w:t xml:space="preserve">No root</w:t>
            </w:r>
          </w:p>
        </w:tc>
        <w:tc>
          <w:tcPr/>
          <w:p>
            <w:pPr>
              <w:pStyle w:val="Compact"/>
              <w:jc w:val="right"/>
            </w:pPr>
            <w:r>
              <w:rPr>
                <w:lang w:val="en-US"/>
              </w:rPr>
              <w:t xml:space="preserve">Partial: 7.0717</w:t>
            </w:r>
          </w:p>
        </w:tc>
        <w:tc>
          <w:tcPr/>
          <w:p>
            <w:pPr>
              <w:pStyle w:val="Compact"/>
              <w:jc w:val="center"/>
            </w:pPr>
            <w:r>
              <w:rPr>
                <w:lang w:val="en-US"/>
              </w:rPr>
              <w:t xml:space="preserve">Unresolved / Unresolved</w:t>
            </w:r>
          </w:p>
        </w:tc>
      </w:tr>
      <w:tr>
        <w:tc>
          <w:tcPr/>
          <w:p>
            <w:pPr>
              <w:pStyle w:val="Compact"/>
              <w:jc w:val="left"/>
            </w:pPr>
            <m:oMath>
              <m:r>
                <m:t>S</m:t>
              </m:r>
              <m:r>
                <m:rPr>
                  <m:sty m:val="p"/>
                </m:rPr>
                <m:t>/</m:t>
              </m:r>
              <m:r>
                <m:t>K</m:t>
              </m:r>
              <m:r>
                <m:rPr>
                  <m:sty m:val="p"/>
                </m:rPr>
                <m:t>=</m:t>
              </m:r>
              <m:r>
                <m:t>0.8</m:t>
              </m:r>
            </m:oMath>
            <w:r>
              <w:rPr>
                <w:lang w:val="en-US"/>
              </w:rPr>
              <w:t xml:space="preserve">, 90d/10%</w:t>
            </w:r>
          </w:p>
        </w:tc>
        <w:tc>
          <w:tcPr/>
          <w:p>
            <w:pPr>
              <w:pStyle w:val="Compact"/>
              <w:jc w:val="left"/>
            </w:pPr>
            <m:oMath>
              <m:r>
                <m:rPr>
                  <m:sty m:val="p"/>
                </m:rPr>
                <m:t>±</m:t>
              </m:r>
              <m:r>
                <m:t>t</m:t>
              </m:r>
              <m:r>
                <m:rPr>
                  <m:sty m:val="p"/>
                </m:rPr>
                <m:t>/</m:t>
              </m:r>
              <m:r>
                <m:t>2</m:t>
              </m:r>
              <m:r>
                <m:rPr>
                  <m:sty m:val="p"/>
                </m:rPr>
                <m:t>=</m:t>
              </m:r>
              <m:r>
                <m:rPr>
                  <m:sty m:val="p"/>
                </m:rPr>
                <m:t>±</m:t>
              </m:r>
              <m:r>
                <m:t>0.005</m:t>
              </m:r>
            </m:oMath>
            <w:r>
              <w:rPr>
                <w:lang w:val="en-US"/>
              </w:rPr>
              <w:t xml:space="preserve">​</w:t>
            </w:r>
          </w:p>
        </w:tc>
        <w:tc>
          <w:tcPr/>
          <w:p>
            <w:pPr>
              <w:pStyle w:val="Compact"/>
              <w:jc w:val="right"/>
            </w:pPr>
            <w:r>
              <w:rPr>
                <w:lang w:val="en-US"/>
              </w:rPr>
              <w:t xml:space="preserve">+5.9264</w:t>
            </w:r>
          </w:p>
        </w:tc>
        <w:tc>
          <w:tcPr/>
          <w:p>
            <w:pPr>
              <w:pStyle w:val="Compact"/>
              <w:jc w:val="right"/>
            </w:pPr>
            <w:r>
              <w:rPr>
                <w:lang w:val="en-US"/>
              </w:rPr>
              <w:t xml:space="preserve">No root</w:t>
            </w:r>
          </w:p>
        </w:tc>
        <w:tc>
          <w:tcPr/>
          <w:p>
            <w:pPr>
              <w:pStyle w:val="Compact"/>
              <w:jc w:val="right"/>
            </w:pPr>
            <w:r>
              <w:rPr>
                <w:lang w:val="en-US"/>
              </w:rPr>
              <w:t xml:space="preserve">Partial: 5.9264</w:t>
            </w:r>
          </w:p>
        </w:tc>
        <w:tc>
          <w:tcPr/>
          <w:p>
            <w:pPr>
              <w:pStyle w:val="Compact"/>
              <w:jc w:val="center"/>
            </w:pPr>
            <w:r>
              <w:rPr>
                <w:lang w:val="en-US"/>
              </w:rPr>
              <w:t xml:space="preserve">Unresolved / Unresolved</w:t>
            </w:r>
          </w:p>
        </w:tc>
      </w:tr>
    </w:tbl>
    <w:bookmarkStart w:id="44" w:name="fig-price-resolution"/>
    <w:p>
      <w:pPr>
        <w:pStyle w:val="CaptionedFigure"/>
      </w:pPr>
      <w:r>
        <w:drawing>
          <wp:inline>
            <wp:extent cx="5270500" cy="4110933"/>
            <wp:effectExtent b="0" l="0" r="0" t="0"/>
            <wp:docPr descr="Finite-shock identification and illustrative precision status for hypothetical full ticks and quote half-spreads. Panels show zero-carry configurations at 10% and 20% reference IV across all five moneyness ratios and 30/90-day expiries. Gray is unresolved, blue is identified within the illustrative 0.10-pp worst-direction-displacement tolerance, and orange is identified but outside that tolerance. In tick panels the dagger marks the pair minimum OTM-equivalent time value below the displayed tick; in spread panels it marks that minimum below the 0.01 reference tick. The cross marks a missing leg-specific shock root; roundoff remains a separate local diagnostic in Table 5." title="" id="42" name="Picture"/>
            <a:graphic>
              <a:graphicData uri="http://schemas.openxmlformats.org/drawingml/2006/picture">
                <pic:pic>
                  <pic:nvPicPr>
                    <pic:cNvPr descr="research/cpiv/generated/cpiv_methods_note_reproduction_2026-10-12_v2/price_resolution_status_heatmap.png" id="43" name="Picture"/>
                    <pic:cNvPicPr>
                      <a:picLocks noChangeArrowheads="1" noChangeAspect="1"/>
                    </pic:cNvPicPr>
                  </pic:nvPicPr>
                  <pic:blipFill>
                    <a:blip r:embed="rId41"/>
                    <a:stretch>
                      <a:fillRect/>
                    </a:stretch>
                  </pic:blipFill>
                  <pic:spPr bwMode="auto">
                    <a:xfrm>
                      <a:off x="0" y="0"/>
                      <a:ext cx="5270500" cy="4110933"/>
                    </a:xfrm>
                    <a:prstGeom prst="rect">
                      <a:avLst/>
                    </a:prstGeom>
                    <a:noFill/>
                    <a:ln w="9525">
                      <a:noFill/>
                      <a:headEnd/>
                      <a:tailEnd/>
                    </a:ln>
                  </pic:spPr>
                </pic:pic>
              </a:graphicData>
            </a:graphic>
          </wp:inline>
        </w:drawing>
      </w:r>
    </w:p>
    <w:p>
      <w:pPr>
        <w:pStyle w:val="ImageCaption"/>
      </w:pPr>
      <w:r>
        <w:rPr>
          <w:lang w:val="en-US"/>
        </w:rPr>
        <w:t xml:space="preserve">Figure 4: Finite-shock identification and illustrative precision status for hypothetical full ticks and quote half-spreads. Panels show zero-carry configurations at 10% and 20% reference IV across all five moneyness ratios and 30/90-day expiries. Gray is unresolved, blue is identified within the illustrative 0.10-pp worst-direction-displacement tolerance, and orange is identified but outside that tolerance. In tick panels the dagger marks the pair minimum OTM-equivalent time value below the displayed tick; in spread panels it marks that minimum below the 0.01 reference tick. The cross marks a missing leg-specific shock root; roundoff remains a separate local diagnostic in Table 5.</w:t>
      </w:r>
    </w:p>
    <w:bookmarkEnd w:id="44"/>
    <w:bookmarkStart w:id="48" w:name="fig-finite-shock-change"/>
    <w:p>
      <w:pPr>
        <w:pStyle w:val="CaptionedFigure"/>
      </w:pPr>
      <w:r>
        <w:drawing>
          <wp:inline>
            <wp:extent cx="5270500" cy="3283359"/>
            <wp:effectExtent b="0" l="0" r="0" t="0"/>
            <wp:docPr descr="Exact finite-shock IV changes for zero-carry configurations at 10% and 20% reference IV, all five moneyness ratios, and 30/90-day expiries; the full grid is in the CSV. Colors show maximum available absolute changes in bands through the configured 500-pp solver cap; a marked pair may still be unidentified because its minimum OTM-equivalent time value is below tick or one leg/direction has no root. The dagger marks a below-tick pair minimum and the cross a missing shock-direction root; machine-readable rows retain each leg and direction." title="" id="46" name="Picture"/>
            <a:graphic>
              <a:graphicData uri="http://schemas.openxmlformats.org/drawingml/2006/picture">
                <pic:pic>
                  <pic:nvPicPr>
                    <pic:cNvPr descr="research/cpiv/generated/cpiv_methods_note_reproduction_2026-10-12_v2/finite_shock_change_heatmap.png" id="47" name="Picture"/>
                    <pic:cNvPicPr>
                      <a:picLocks noChangeArrowheads="1" noChangeAspect="1"/>
                    </pic:cNvPicPr>
                  </pic:nvPicPr>
                  <pic:blipFill>
                    <a:blip r:embed="rId45"/>
                    <a:stretch>
                      <a:fillRect/>
                    </a:stretch>
                  </pic:blipFill>
                  <pic:spPr bwMode="auto">
                    <a:xfrm>
                      <a:off x="0" y="0"/>
                      <a:ext cx="5270500" cy="3283359"/>
                    </a:xfrm>
                    <a:prstGeom prst="rect">
                      <a:avLst/>
                    </a:prstGeom>
                    <a:noFill/>
                    <a:ln w="9525">
                      <a:noFill/>
                      <a:headEnd/>
                      <a:tailEnd/>
                    </a:ln>
                  </pic:spPr>
                </pic:pic>
              </a:graphicData>
            </a:graphic>
          </wp:inline>
        </w:drawing>
      </w:r>
    </w:p>
    <w:p>
      <w:pPr>
        <w:pStyle w:val="ImageCaption"/>
      </w:pPr>
      <w:r>
        <w:rPr>
          <w:lang w:val="en-US"/>
        </w:rPr>
        <w:t xml:space="preserve">Figure 5: Exact finite-shock IV changes for zero-carry configurations at 10% and 20% reference IV, all five moneyness ratios, and 30/90-day expiries; the full grid is in the CSV. Colors show maximum available absolute changes in bands through the configured 500-pp solver cap; a marked pair may still be unidentified because its minimum OTM-equivalent time value is below tick or one leg/direction has no root. The dagger marks a below-tick pair minimum and the cross a missing shock-direction root; machine-readable rows retain each leg and direction.</w:t>
      </w:r>
    </w:p>
    <w:bookmarkEnd w:id="48"/>
    <w:bookmarkEnd w:id="49"/>
    <w:bookmarkStart w:id="50" w:name="Xf29498fcdeb88deaab977ff1f10a865010639b4"/>
    <w:p>
      <w:pPr>
        <w:pStyle w:val="Heading3"/>
      </w:pPr>
      <w:r>
        <w:rPr>
          <w:lang w:val="en-US"/>
        </w:rPr>
        <w:t xml:space="preserve">7.8 Bound-first classification of inversion failures</w:t>
      </w:r>
    </w:p>
    <w:p>
      <w:pPr>
        <w:pStyle w:val="FirstParagraph"/>
      </w:pPr>
      <w:r>
        <w:rPr>
          <w:lang w:val="en-US"/>
        </w:rPr>
        <w:t xml:space="preserve">The 16 rejected synthetic prices are classified using the same binary64 bounds and tolerance as the IV solver. The ordering is material: strict bound violations are identified first, then exact-bound prices are counted under the guard, then strictly interior prices within the absolute near-bound tolerance are counted as guard rejections. The separate Decimal comparison in Section 6.1 uses high-precision bounds and therefore does not supply these three classifier groups.</w:t>
      </w:r>
    </w:p>
    <w:p>
      <w:pPr>
        <w:pStyle w:val="BodyText"/>
      </w:pPr>
      <w:r>
        <w:rPr>
          <w:b/>
          <w:bCs/>
          <w:lang w:val="en-US"/>
        </w:rPr>
        <w:t xml:space="preserve">Table 8.</w:t>
      </w:r>
      <w:r>
        <w:rPr>
          <w:lang w:val="en-US"/>
        </w:rPr>
        <w:t xml:space="preserve"> </w:t>
      </w:r>
      <w:r>
        <w:rPr>
          <w:lang w:val="en-US"/>
        </w:rPr>
        <w:t xml:space="preserve">Mutually exclusive replay of the 16 generated rejected prices against the binary64 bounds used by the solver.</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lang w:val="en-US"/>
              </w:rPr>
              <w:t xml:space="preserve">Group</w:t>
            </w:r>
          </w:p>
        </w:tc>
        <w:tc>
          <w:tcPr/>
          <w:p>
            <w:pPr>
              <w:pStyle w:val="Compact"/>
              <w:jc w:val="left"/>
            </w:pPr>
            <w:r>
              <w:rPr>
                <w:lang w:val="en-US"/>
              </w:rPr>
              <w:t xml:space="preserve">Classification rule</w:t>
            </w:r>
          </w:p>
        </w:tc>
        <w:tc>
          <w:tcPr/>
          <w:p>
            <w:pPr>
              <w:pStyle w:val="Compact"/>
              <w:jc w:val="right"/>
            </w:pPr>
            <w:r>
              <w:rPr>
                <w:lang w:val="en-US"/>
              </w:rPr>
              <w:t xml:space="preserve">Count</w:t>
            </w:r>
          </w:p>
        </w:tc>
        <w:tc>
          <w:tcPr/>
          <w:p>
            <w:pPr>
              <w:pStyle w:val="Compact"/>
              <w:jc w:val="left"/>
            </w:pPr>
            <w:r>
              <w:rPr>
                <w:lang w:val="en-US"/>
              </w:rPr>
              <w:t xml:space="preserve">Recorded solver status</w:t>
            </w:r>
          </w:p>
        </w:tc>
      </w:tr>
      <w:tr>
        <w:tc>
          <w:tcPr/>
          <w:p>
            <w:pPr>
              <w:pStyle w:val="Compact"/>
              <w:jc w:val="left"/>
            </w:pPr>
            <w:r>
              <w:rPr>
                <w:lang w:val="en-US"/>
              </w:rPr>
              <w:t xml:space="preserve">Strict bound violation</w:t>
            </w:r>
          </w:p>
        </w:tc>
        <w:tc>
          <w:tcPr/>
          <w:p>
            <w:pPr>
              <w:pStyle w:val="Compact"/>
              <w:jc w:val="left"/>
            </w:pPr>
            <m:oMath>
              <m:r>
                <m:t>P</m:t>
              </m:r>
              <m:r>
                <m:rPr>
                  <m:sty m:val="p"/>
                </m:rPr>
                <m:t>&lt;</m:t>
              </m:r>
              <m:r>
                <m:t>L</m:t>
              </m:r>
            </m:oMath>
            <w:r>
              <w:rPr>
                <w:lang w:val="en-US"/>
              </w:rPr>
              <w:t xml:space="preserve"> </w:t>
            </w:r>
            <w:r>
              <w:rPr>
                <w:lang w:val="en-US"/>
              </w:rPr>
              <w:t xml:space="preserve">or</w:t>
            </w:r>
            <w:r>
              <w:rPr>
                <w:lang w:val="en-US"/>
              </w:rPr>
              <w:t xml:space="preserve"> </w:t>
            </w:r>
            <m:oMath>
              <m:r>
                <m:t>P</m:t>
              </m:r>
              <m:r>
                <m:rPr>
                  <m:sty m:val="p"/>
                </m:rPr>
                <m:t>&gt;</m:t>
              </m:r>
              <m:r>
                <m:t>U</m:t>
              </m:r>
            </m:oMath>
            <w:r>
              <w:rPr>
                <w:lang w:val="en-US"/>
              </w:rPr>
              <w:t xml:space="preserve">, checked first</w:t>
            </w:r>
          </w:p>
        </w:tc>
        <w:tc>
          <w:tcPr/>
          <w:p>
            <w:pPr>
              <w:pStyle w:val="Compact"/>
              <w:jc w:val="right"/>
            </w:pPr>
            <w:r>
              <w:rPr>
                <w:lang w:val="en-US"/>
              </w:rPr>
              <w:t xml:space="preserve">1</w:t>
            </w:r>
          </w:p>
        </w:tc>
        <w:tc>
          <w:tcPr/>
          <w:p>
            <w:pPr>
              <w:pStyle w:val="Compact"/>
              <w:jc w:val="left"/>
            </w:pPr>
            <w:r>
              <w:rPr>
                <w:lang w:val="en-US"/>
              </w:rPr>
              <w:t xml:space="preserve">Theoretical-bound violation</w:t>
            </w:r>
          </w:p>
        </w:tc>
      </w:tr>
      <w:tr>
        <w:tc>
          <w:tcPr/>
          <w:p>
            <w:pPr>
              <w:pStyle w:val="Compact"/>
              <w:jc w:val="left"/>
            </w:pPr>
            <w:r>
              <w:rPr>
                <w:lang w:val="en-US"/>
              </w:rPr>
              <w:t xml:space="preserve">Exact-bound guard</w:t>
            </w:r>
          </w:p>
        </w:tc>
        <w:tc>
          <w:tcPr/>
          <w:p>
            <w:pPr>
              <w:pStyle w:val="Compact"/>
              <w:jc w:val="left"/>
            </w:pPr>
            <m:oMath>
              <m:r>
                <m:t>P</m:t>
              </m:r>
              <m:r>
                <m:rPr>
                  <m:sty m:val="p"/>
                </m:rPr>
                <m:t>=</m:t>
              </m:r>
              <m:r>
                <m:t>L</m:t>
              </m:r>
            </m:oMath>
            <w:r>
              <w:rPr>
                <w:lang w:val="en-US"/>
              </w:rPr>
              <w:t xml:space="preserve"> </w:t>
            </w:r>
            <w:r>
              <w:rPr>
                <w:lang w:val="en-US"/>
              </w:rPr>
              <w:t xml:space="preserve">or</w:t>
            </w:r>
            <w:r>
              <w:rPr>
                <w:lang w:val="en-US"/>
              </w:rPr>
              <w:t xml:space="preserve"> </w:t>
            </w:r>
            <m:oMath>
              <m:r>
                <m:t>P</m:t>
              </m:r>
              <m:r>
                <m:rPr>
                  <m:sty m:val="p"/>
                </m:rPr>
                <m:t>=</m:t>
              </m:r>
              <m:r>
                <m:t>U</m:t>
              </m:r>
            </m:oMath>
          </w:p>
        </w:tc>
        <w:tc>
          <w:tcPr/>
          <w:p>
            <w:pPr>
              <w:pStyle w:val="Compact"/>
              <w:jc w:val="right"/>
            </w:pPr>
            <w:r>
              <w:rPr>
                <w:lang w:val="en-US"/>
              </w:rPr>
              <w:t xml:space="preserve">5</w:t>
            </w:r>
          </w:p>
        </w:tc>
        <w:tc>
          <w:tcPr/>
          <w:p>
            <w:pPr>
              <w:pStyle w:val="Compact"/>
              <w:jc w:val="left"/>
            </w:pPr>
            <w:r>
              <w:rPr>
                <w:lang w:val="en-US"/>
              </w:rPr>
              <w:t xml:space="preserve">Absolute near-bound guard</w:t>
            </w:r>
          </w:p>
        </w:tc>
      </w:tr>
      <w:tr>
        <w:tc>
          <w:tcPr/>
          <w:p>
            <w:pPr>
              <w:pStyle w:val="Compact"/>
              <w:jc w:val="left"/>
            </w:pPr>
            <w:r>
              <w:rPr>
                <w:lang w:val="en-US"/>
              </w:rPr>
              <w:t xml:space="preserve">Interior near-bound guard</w:t>
            </w:r>
          </w:p>
        </w:tc>
        <w:tc>
          <w:tcPr/>
          <w:p>
            <w:pPr>
              <w:pStyle w:val="Compact"/>
              <w:jc w:val="left"/>
            </w:pPr>
            <m:oMath>
              <m:r>
                <m:t>L</m:t>
              </m:r>
              <m:r>
                <m:rPr>
                  <m:sty m:val="p"/>
                </m:rPr>
                <m:t>&lt;</m:t>
              </m:r>
              <m:r>
                <m:t>P</m:t>
              </m:r>
              <m:r>
                <m:rPr>
                  <m:sty m:val="p"/>
                </m:rPr>
                <m:t>&lt;</m:t>
              </m:r>
              <m:r>
                <m:t>U</m:t>
              </m:r>
            </m:oMath>
            <w:r>
              <w:rPr>
                <w:lang w:val="en-US"/>
              </w:rPr>
              <w:t xml:space="preserve"> </w:t>
            </w:r>
            <w:r>
              <w:rPr>
                <w:lang w:val="en-US"/>
              </w:rPr>
              <w:t xml:space="preserve">and</w:t>
            </w:r>
            <w:r>
              <w:rPr>
                <w:lang w:val="en-US"/>
              </w:rPr>
              <w:t xml:space="preserve"> </w:t>
            </w:r>
            <m:oMath>
              <m:r>
                <m:rPr>
                  <m:sty m:val="p"/>
                </m:rPr>
                <m:t>min</m:t>
              </m:r>
              <m:r>
                <m:rPr>
                  <m:sty m:val="p"/>
                </m:rPr>
                <m:t>(</m:t>
              </m:r>
              <m:r>
                <m:t>P</m:t>
              </m:r>
              <m:r>
                <m:rPr>
                  <m:sty m:val="p"/>
                </m:rPr>
                <m:t>−</m:t>
              </m:r>
              <m:r>
                <m:t>L</m:t>
              </m:r>
              <m:r>
                <m:rPr>
                  <m:sty m:val="p"/>
                </m:rPr>
                <m:t>,</m:t>
              </m:r>
              <m:r>
                <m:t>U</m:t>
              </m:r>
              <m:r>
                <m:rPr>
                  <m:sty m:val="p"/>
                </m:rPr>
                <m:t>−</m:t>
              </m:r>
              <m:r>
                <m:t>P</m:t>
              </m:r>
              <m:r>
                <m:rPr>
                  <m:sty m:val="p"/>
                </m:rPr>
                <m:t>)</m:t>
              </m:r>
              <m:r>
                <m:rPr>
                  <m:sty m:val="p"/>
                </m:rPr>
                <m:t>≤</m:t>
              </m:r>
              <m:sSup>
                <m:e>
                  <m:r>
                    <m:t>10</m:t>
                  </m:r>
                </m:e>
                <m:sup>
                  <m:r>
                    <m:rPr>
                      <m:sty m:val="p"/>
                    </m:rPr>
                    <m:t>−</m:t>
                  </m:r>
                  <m:r>
                    <m:t>10</m:t>
                  </m:r>
                </m:sup>
              </m:sSup>
            </m:oMath>
          </w:p>
        </w:tc>
        <w:tc>
          <w:tcPr/>
          <w:p>
            <w:pPr>
              <w:pStyle w:val="Compact"/>
              <w:jc w:val="right"/>
            </w:pPr>
            <w:r>
              <w:rPr>
                <w:lang w:val="en-US"/>
              </w:rPr>
              <w:t xml:space="preserve">10</w:t>
            </w:r>
          </w:p>
        </w:tc>
        <w:tc>
          <w:tcPr/>
          <w:p>
            <w:pPr>
              <w:pStyle w:val="Compact"/>
              <w:jc w:val="left"/>
            </w:pPr>
            <w:r>
              <w:rPr>
                <w:lang w:val="en-US"/>
              </w:rPr>
              <w:t xml:space="preserve">Absolute near-bound guard</w:t>
            </w:r>
          </w:p>
        </w:tc>
      </w:tr>
      <w:tr>
        <w:tc>
          <w:tcPr/>
          <w:p>
            <w:pPr>
              <w:pStyle w:val="Compact"/>
              <w:jc w:val="left"/>
            </w:pPr>
            <w:r>
              <w:rPr>
                <w:b/>
                <w:bCs/>
                <w:lang w:val="en-US"/>
              </w:rPr>
              <w:t xml:space="preserve">Total</w:t>
            </w:r>
          </w:p>
        </w:tc>
        <w:tc>
          <w:tcPr/>
          <w:p>
            <w:pPr>
              <w:pStyle w:val="Compact"/>
              <w:jc w:val="left"/>
            </w:pPr>
            <w:r>
              <w:rPr>
                <w:lang w:val="en-US"/>
              </w:rPr>
              <w:t xml:space="preserve">Disjoint groups; exact-bound prices belong to guard</w:t>
            </w:r>
          </w:p>
        </w:tc>
        <w:tc>
          <w:tcPr/>
          <w:p>
            <w:pPr>
              <w:pStyle w:val="Compact"/>
              <w:jc w:val="right"/>
            </w:pPr>
            <w:r>
              <w:rPr>
                <w:b/>
                <w:bCs/>
                <w:lang w:val="en-US"/>
              </w:rPr>
              <w:t xml:space="preserve">16</w:t>
            </w:r>
          </w:p>
        </w:tc>
        <w:tc>
          <w:tcPr/>
          <w:p>
            <w:pPr>
              <w:pStyle w:val="Compact"/>
              <w:jc w:val="left"/>
            </w:pPr>
            <w:r>
              <w:rPr>
                <w:b/>
                <w:bCs/>
                <w:lang w:val="en-US"/>
              </w:rPr>
              <w:t xml:space="preserve">15 guard + 1 violation</w:t>
            </w:r>
          </w:p>
        </w:tc>
      </w:tr>
    </w:tbl>
    <w:p>
      <w:pPr>
        <w:pStyle w:val="BodyText"/>
      </w:pPr>
      <w:r>
        <w:rPr>
          <w:lang w:val="en-US"/>
        </w:rPr>
        <w:t xml:space="preserve">The binary64 solver classification is 10 interior near-bound guards, 5 exact-bound guards, and 1 strict bound violation; Table 8 gives the mutually exclusive groups. Under the separate comparison with reconstructed 180-digit bounds, the same 16 stored prices classify as 12 inside, 2 on a boundary, and 2 outside. Table 9 cross-tabulates the two definitions; all counts describe these generated cases and do not estimate a market failure rate.</w:t>
      </w:r>
    </w:p>
    <w:p>
      <w:pPr>
        <w:pStyle w:val="BodyText"/>
      </w:pPr>
      <w:r>
        <w:rPr>
          <w:b/>
          <w:bCs/>
          <w:lang w:val="en-US"/>
        </w:rPr>
        <w:t xml:space="preserve">Table 9.</w:t>
      </w:r>
      <w:r>
        <w:rPr>
          <w:lang w:val="en-US"/>
        </w:rPr>
        <w:t xml:space="preserve"> </w:t>
      </w:r>
      <w:r>
        <w:rPr>
          <w:lang w:val="en-US"/>
        </w:rPr>
        <w:t xml:space="preserve">Case-level cross-tab of the binary64 solver classifier against the exact numerical binary64 prices compared with reconstructed 180-digit bounds. Boundary means equality at either high-precision bound; shortest round-trip decimal text is audited separately in the machine-readable output.</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Binary64 solver group</w:t>
            </w:r>
          </w:p>
        </w:tc>
        <w:tc>
          <w:tcPr/>
          <w:p>
            <w:pPr>
              <w:pStyle w:val="Compact"/>
              <w:jc w:val="right"/>
            </w:pPr>
            <w:r>
              <w:rPr>
                <w:lang w:val="en-US"/>
              </w:rPr>
              <w:t xml:space="preserve">180-digit inside</w:t>
            </w:r>
          </w:p>
        </w:tc>
        <w:tc>
          <w:tcPr/>
          <w:p>
            <w:pPr>
              <w:pStyle w:val="Compact"/>
              <w:jc w:val="right"/>
            </w:pPr>
            <w:r>
              <w:rPr>
                <w:lang w:val="en-US"/>
              </w:rPr>
              <w:t xml:space="preserve">180-digit on boundary</w:t>
            </w:r>
          </w:p>
        </w:tc>
        <w:tc>
          <w:tcPr/>
          <w:p>
            <w:pPr>
              <w:pStyle w:val="Compact"/>
              <w:jc w:val="right"/>
            </w:pPr>
            <w:r>
              <w:rPr>
                <w:lang w:val="en-US"/>
              </w:rPr>
              <w:t xml:space="preserve">180-digit violation</w:t>
            </w:r>
          </w:p>
        </w:tc>
        <w:tc>
          <w:tcPr/>
          <w:p>
            <w:pPr>
              <w:pStyle w:val="Compact"/>
              <w:jc w:val="right"/>
            </w:pPr>
            <w:r>
              <w:rPr>
                <w:lang w:val="en-US"/>
              </w:rPr>
              <w:t xml:space="preserve">Total</w:t>
            </w:r>
          </w:p>
        </w:tc>
      </w:tr>
      <w:tr>
        <w:tc>
          <w:tcPr/>
          <w:p>
            <w:pPr>
              <w:pStyle w:val="Compact"/>
              <w:jc w:val="left"/>
            </w:pPr>
            <w:r>
              <w:rPr>
                <w:lang w:val="en-US"/>
              </w:rPr>
              <w:t xml:space="preserve">Interior near-bound guard</w:t>
            </w:r>
          </w:p>
        </w:tc>
        <w:tc>
          <w:tcPr/>
          <w:p>
            <w:pPr>
              <w:pStyle w:val="Compact"/>
              <w:jc w:val="right"/>
            </w:pPr>
            <w:r>
              <w:rPr>
                <w:lang w:val="en-US"/>
              </w:rPr>
              <w:t xml:space="preserve">10</w:t>
            </w:r>
          </w:p>
        </w:tc>
        <w:tc>
          <w:tcPr/>
          <w:p>
            <w:pPr>
              <w:pStyle w:val="Compact"/>
              <w:jc w:val="right"/>
            </w:pPr>
            <w:r>
              <w:rPr>
                <w:lang w:val="en-US"/>
              </w:rPr>
              <w:t xml:space="preserve">0</w:t>
            </w:r>
          </w:p>
        </w:tc>
        <w:tc>
          <w:tcPr/>
          <w:p>
            <w:pPr>
              <w:pStyle w:val="Compact"/>
              <w:jc w:val="right"/>
            </w:pPr>
            <w:r>
              <w:rPr>
                <w:lang w:val="en-US"/>
              </w:rPr>
              <w:t xml:space="preserve">0</w:t>
            </w:r>
          </w:p>
        </w:tc>
        <w:tc>
          <w:tcPr/>
          <w:p>
            <w:pPr>
              <w:pStyle w:val="Compact"/>
              <w:jc w:val="right"/>
            </w:pPr>
            <w:r>
              <w:rPr>
                <w:lang w:val="en-US"/>
              </w:rPr>
              <w:t xml:space="preserve">10</w:t>
            </w:r>
          </w:p>
        </w:tc>
      </w:tr>
      <w:tr>
        <w:tc>
          <w:tcPr/>
          <w:p>
            <w:pPr>
              <w:pStyle w:val="Compact"/>
              <w:jc w:val="left"/>
            </w:pPr>
            <w:r>
              <w:rPr>
                <w:lang w:val="en-US"/>
              </w:rPr>
              <w:t xml:space="preserve">Exact-bound guard</w:t>
            </w:r>
          </w:p>
        </w:tc>
        <w:tc>
          <w:tcPr/>
          <w:p>
            <w:pPr>
              <w:pStyle w:val="Compact"/>
              <w:jc w:val="right"/>
            </w:pPr>
            <w:r>
              <w:rPr>
                <w:lang w:val="en-US"/>
              </w:rPr>
              <w:t xml:space="preserve">2</w:t>
            </w:r>
          </w:p>
        </w:tc>
        <w:tc>
          <w:tcPr/>
          <w:p>
            <w:pPr>
              <w:pStyle w:val="Compact"/>
              <w:jc w:val="right"/>
            </w:pPr>
            <w:r>
              <w:rPr>
                <w:lang w:val="en-US"/>
              </w:rPr>
              <w:t xml:space="preserve">2</w:t>
            </w:r>
          </w:p>
        </w:tc>
        <w:tc>
          <w:tcPr/>
          <w:p>
            <w:pPr>
              <w:pStyle w:val="Compact"/>
              <w:jc w:val="right"/>
            </w:pPr>
            <w:r>
              <w:rPr>
                <w:lang w:val="en-US"/>
              </w:rPr>
              <w:t xml:space="preserve">1</w:t>
            </w:r>
          </w:p>
        </w:tc>
        <w:tc>
          <w:tcPr/>
          <w:p>
            <w:pPr>
              <w:pStyle w:val="Compact"/>
              <w:jc w:val="right"/>
            </w:pPr>
            <w:r>
              <w:rPr>
                <w:lang w:val="en-US"/>
              </w:rPr>
              <w:t xml:space="preserve">5</w:t>
            </w:r>
          </w:p>
        </w:tc>
      </w:tr>
      <w:tr>
        <w:tc>
          <w:tcPr/>
          <w:p>
            <w:pPr>
              <w:pStyle w:val="Compact"/>
              <w:jc w:val="left"/>
            </w:pPr>
            <w:r>
              <w:rPr>
                <w:lang w:val="en-US"/>
              </w:rPr>
              <w:t xml:space="preserve">Strict bound violation</w:t>
            </w:r>
          </w:p>
        </w:tc>
        <w:tc>
          <w:tcPr/>
          <w:p>
            <w:pPr>
              <w:pStyle w:val="Compact"/>
              <w:jc w:val="right"/>
            </w:pPr>
            <w:r>
              <w:rPr>
                <w:lang w:val="en-US"/>
              </w:rPr>
              <w:t xml:space="preserve">0</w:t>
            </w:r>
          </w:p>
        </w:tc>
        <w:tc>
          <w:tcPr/>
          <w:p>
            <w:pPr>
              <w:pStyle w:val="Compact"/>
              <w:jc w:val="right"/>
            </w:pPr>
            <w:r>
              <w:rPr>
                <w:lang w:val="en-US"/>
              </w:rPr>
              <w:t xml:space="preserve">0</w:t>
            </w:r>
          </w:p>
        </w:tc>
        <w:tc>
          <w:tcPr/>
          <w:p>
            <w:pPr>
              <w:pStyle w:val="Compact"/>
              <w:jc w:val="right"/>
            </w:pPr>
            <w:r>
              <w:rPr>
                <w:lang w:val="en-US"/>
              </w:rPr>
              <w:t xml:space="preserve">1</w:t>
            </w:r>
          </w:p>
        </w:tc>
        <w:tc>
          <w:tcPr/>
          <w:p>
            <w:pPr>
              <w:pStyle w:val="Compact"/>
              <w:jc w:val="right"/>
            </w:pPr>
            <w:r>
              <w:rPr>
                <w:lang w:val="en-US"/>
              </w:rPr>
              <w:t xml:space="preserve">1</w:t>
            </w:r>
          </w:p>
        </w:tc>
      </w:tr>
      <w:tr>
        <w:tc>
          <w:tcPr/>
          <w:p>
            <w:pPr>
              <w:pStyle w:val="Compact"/>
              <w:jc w:val="left"/>
            </w:pPr>
            <w:r>
              <w:rPr>
                <w:b/>
                <w:bCs/>
                <w:lang w:val="en-US"/>
              </w:rPr>
              <w:t xml:space="preserve">Total</w:t>
            </w:r>
          </w:p>
        </w:tc>
        <w:tc>
          <w:tcPr/>
          <w:p>
            <w:pPr>
              <w:pStyle w:val="Compact"/>
              <w:jc w:val="right"/>
            </w:pPr>
            <w:r>
              <w:rPr>
                <w:b/>
                <w:bCs/>
                <w:lang w:val="en-US"/>
              </w:rPr>
              <w:t xml:space="preserve">12</w:t>
            </w:r>
          </w:p>
        </w:tc>
        <w:tc>
          <w:tcPr/>
          <w:p>
            <w:pPr>
              <w:pStyle w:val="Compact"/>
              <w:jc w:val="right"/>
            </w:pPr>
            <w:r>
              <w:rPr>
                <w:b/>
                <w:bCs/>
                <w:lang w:val="en-US"/>
              </w:rPr>
              <w:t xml:space="preserve">2</w:t>
            </w:r>
          </w:p>
        </w:tc>
        <w:tc>
          <w:tcPr/>
          <w:p>
            <w:pPr>
              <w:pStyle w:val="Compact"/>
              <w:jc w:val="right"/>
            </w:pPr>
            <w:r>
              <w:rPr>
                <w:b/>
                <w:bCs/>
                <w:lang w:val="en-US"/>
              </w:rPr>
              <w:t xml:space="preserve">2</w:t>
            </w:r>
          </w:p>
        </w:tc>
        <w:tc>
          <w:tcPr/>
          <w:p>
            <w:pPr>
              <w:pStyle w:val="Compact"/>
              <w:jc w:val="right"/>
            </w:pPr>
            <w:r>
              <w:rPr>
                <w:b/>
                <w:bCs/>
                <w:lang w:val="en-US"/>
              </w:rPr>
              <w:t xml:space="preserve">16</w:t>
            </w:r>
          </w:p>
        </w:tc>
      </w:tr>
    </w:tbl>
    <w:p>
      <w:pPr>
        <w:pStyle w:val="BodyText"/>
      </w:pPr>
      <w:r>
        <w:rPr>
          <w:lang w:val="en-US"/>
        </w:rPr>
        <w:t xml:space="preserve">The high-precision comparison uses the exact rational value represented by each binary64 price (</w:t>
      </w:r>
      <w:r>
        <w:rPr>
          <w:rStyle w:val="VerbatimChar"/>
          <w:lang w:val="en-US"/>
        </w:rPr>
        <w:t xml:space="preserve">Decimal.from_float</w:t>
      </w:r>
      <w:r>
        <w:rPr>
          <w:lang w:val="en-US"/>
        </w:rPr>
        <w:t xml:space="preserve">), not its shortest round-trip text alone. The 12/2/2 split therefore differs from the solver’s 10/5/1 groups; the cross-tab localizes that difference rather than reconciling it by aggregate arithmetic. Both classifications concern these 16 generated cases only.</w:t>
      </w:r>
    </w:p>
    <w:bookmarkEnd w:id="50"/>
    <w:bookmarkStart w:id="51" w:name="synthetic-workflow-comparison"/>
    <w:p>
      <w:pPr>
        <w:pStyle w:val="Heading3"/>
      </w:pPr>
      <w:r>
        <w:rPr>
          <w:lang w:val="en-US"/>
        </w:rPr>
        <w:t xml:space="preserve">7.9 Synthetic workflow comparison</w:t>
      </w:r>
    </w:p>
    <w:p>
      <w:pPr>
        <w:pStyle w:val="FirstParagraph"/>
      </w:pPr>
      <w:r>
        <w:rPr>
          <w:lang w:val="en-US"/>
        </w:rPr>
        <w:t xml:space="preserve">This section asks one narrow question: does the identification screen of Table 10 convert unresolved rank pairs into fewer wrong-order decisions than ranking by raw-midpoint CPIV? The truth is known only inside the simulator, so the result is an author-run design check. It is not market evidence and not independent replication. The design constants, seeds, and claim rule are defined in</w:t>
      </w:r>
      <w:r>
        <w:rPr>
          <w:lang w:val="en-US"/>
        </w:rPr>
        <w:t xml:space="preserve"> </w:t>
      </w:r>
      <w:r>
        <w:rPr>
          <w:rStyle w:val="VerbatimChar"/>
          <w:lang w:val="en-US"/>
        </w:rPr>
        <w:t xml:space="preserve">research/cpiv/workflow_comparison.py</w:t>
      </w:r>
      <w:r>
        <w:rPr>
          <w:lang w:val="en-US"/>
        </w:rPr>
        <w:t xml:space="preserve">. No separate time-stamped pre-registration exists, so the claim rule is a stated decision rule, not a registered test.</w:t>
      </w:r>
    </w:p>
    <w:p>
      <w:pPr>
        <w:pStyle w:val="BodyText"/>
      </w:pPr>
      <w:r>
        <w:rPr>
          <w:lang w:val="en-US"/>
        </w:rPr>
        <w:t xml:space="preserve">Each replicate draws a universe of 10 or 50 names with spot</w:t>
      </w:r>
      <w:r>
        <w:rPr>
          <w:lang w:val="en-US"/>
        </w:rPr>
        <w:t xml:space="preserve"> </w:t>
      </w:r>
      <m:oMath>
        <m:r>
          <m:t>S</m:t>
        </m:r>
        <m:r>
          <m:rPr>
            <m:sty m:val="p"/>
          </m:rPr>
          <m:t>=</m:t>
        </m:r>
        <m:r>
          <m:t>100</m:t>
        </m:r>
      </m:oMath>
      <w:r>
        <w:rPr>
          <w:lang w:val="en-US"/>
        </w:rPr>
        <w:t xml:space="preserve">, rate</w:t>
      </w:r>
      <w:r>
        <w:rPr>
          <w:lang w:val="en-US"/>
        </w:rPr>
        <w:t xml:space="preserve"> </w:t>
      </w:r>
      <m:oMath>
        <m:r>
          <m:t>r</m:t>
        </m:r>
        <m:r>
          <m:rPr>
            <m:sty m:val="p"/>
          </m:rPr>
          <m:t>=</m:t>
        </m:r>
        <m:r>
          <m:t>0.05</m:t>
        </m:r>
      </m:oMath>
      <w:r>
        <w:rPr>
          <w:lang w:val="en-US"/>
        </w:rPr>
        <w:t xml:space="preserve">, and dividend yield</w:t>
      </w:r>
      <w:r>
        <w:rPr>
          <w:lang w:val="en-US"/>
        </w:rPr>
        <w:t xml:space="preserve"> </w:t>
      </w:r>
      <m:oMath>
        <m:r>
          <m:t>q</m:t>
        </m:r>
        <m:r>
          <m:rPr>
            <m:sty m:val="p"/>
          </m:rPr>
          <m:t>=</m:t>
        </m:r>
        <m:r>
          <m:t>0.02</m:t>
        </m:r>
      </m:oMath>
      <w:r>
        <w:rPr>
          <w:lang w:val="en-US"/>
        </w:rPr>
        <w:t xml:space="preserve">. For each name, the moneyness ratio</w:t>
      </w:r>
      <w:r>
        <w:rPr>
          <w:lang w:val="en-US"/>
        </w:rPr>
        <w:t xml:space="preserve"> </w:t>
      </w:r>
      <m:oMath>
        <m:r>
          <m:t>S</m:t>
        </m:r>
        <m:r>
          <m:rPr>
            <m:sty m:val="p"/>
          </m:rPr>
          <m:t>/</m:t>
        </m:r>
        <m:r>
          <m:t>K</m:t>
        </m:r>
      </m:oMath>
      <w:r>
        <w:rPr>
          <w:lang w:val="en-US"/>
        </w:rPr>
        <w:t xml:space="preserve"> </w:t>
      </w:r>
      <w:r>
        <w:rPr>
          <w:lang w:val="en-US"/>
        </w:rPr>
        <w:t xml:space="preserve">is drawn uniformly from</w:t>
      </w:r>
      <w:r>
        <w:rPr>
          <w:lang w:val="en-US"/>
        </w:rPr>
        <w:t xml:space="preserve"> </w:t>
      </w:r>
      <m:oMath>
        <m:r>
          <m:rPr>
            <m:sty m:val="p"/>
          </m:rPr>
          <m:t>{</m:t>
        </m:r>
        <m:r>
          <m:t>0.8</m:t>
        </m:r>
        <m:r>
          <m:rPr>
            <m:sty m:val="p"/>
          </m:rPr>
          <m:t>,</m:t>
        </m:r>
        <m:r>
          <m:t>0.9</m:t>
        </m:r>
        <m:r>
          <m:rPr>
            <m:sty m:val="p"/>
          </m:rPr>
          <m:t>,</m:t>
        </m:r>
        <m:r>
          <m:t>1.0</m:t>
        </m:r>
        <m:r>
          <m:rPr>
            <m:sty m:val="p"/>
          </m:rPr>
          <m:t>,</m:t>
        </m:r>
        <m:r>
          <m:t>1.1</m:t>
        </m:r>
        <m:r>
          <m:rPr>
            <m:sty m:val="p"/>
          </m:rPr>
          <m:t>,</m:t>
        </m:r>
        <m:r>
          <m:t>1.2</m:t>
        </m:r>
        <m:r>
          <m:rPr>
            <m:sty m:val="p"/>
          </m:rPr>
          <m:t>}</m:t>
        </m:r>
      </m:oMath>
      <w:r>
        <w:rPr>
          <w:lang w:val="en-US"/>
        </w:rPr>
        <w:t xml:space="preserve">, the tenor from</w:t>
      </w:r>
      <w:r>
        <w:rPr>
          <w:lang w:val="en-US"/>
        </w:rPr>
        <w:t xml:space="preserve"> </w:t>
      </w:r>
      <m:oMath>
        <m:r>
          <m:rPr>
            <m:sty m:val="p"/>
          </m:rPr>
          <m:t>{</m:t>
        </m:r>
        <m:r>
          <m:t>30</m:t>
        </m:r>
        <m:r>
          <m:rPr>
            <m:sty m:val="p"/>
          </m:rPr>
          <m:t>,</m:t>
        </m:r>
        <m:r>
          <m:t>90</m:t>
        </m:r>
        <m:r>
          <m:rPr>
            <m:sty m:val="p"/>
          </m:rPr>
          <m:t>}</m:t>
        </m:r>
      </m:oMath>
      <w:r>
        <w:rPr>
          <w:lang w:val="en-US"/>
        </w:rPr>
        <w:t xml:space="preserve"> </w:t>
      </w:r>
      <w:r>
        <w:rPr>
          <w:lang w:val="en-US"/>
        </w:rPr>
        <w:t xml:space="preserve">days, and the put volatility</w:t>
      </w:r>
      <w:r>
        <w:rPr>
          <w:lang w:val="en-US"/>
        </w:rPr>
        <w:t xml:space="preserve"> </w:t>
      </w:r>
      <m:oMath>
        <m:sSub>
          <m:e>
            <m:r>
              <m:t>σ</m:t>
            </m:r>
          </m:e>
          <m:sub>
            <m:r>
              <m:t>P</m:t>
            </m:r>
          </m:sub>
        </m:sSub>
      </m:oMath>
      <w:r>
        <w:rPr>
          <w:lang w:val="en-US"/>
        </w:rPr>
        <w:t xml:space="preserve"> </w:t>
      </w:r>
      <w:r>
        <w:rPr>
          <w:lang w:val="en-US"/>
        </w:rPr>
        <w:t xml:space="preserve">from</w:t>
      </w:r>
      <w:r>
        <w:rPr>
          <w:lang w:val="en-US"/>
        </w:rPr>
        <w:t xml:space="preserve"> </w:t>
      </w:r>
      <m:oMath>
        <m:r>
          <m:rPr>
            <m:sty m:val="p"/>
          </m:rPr>
          <m:t>{</m:t>
        </m:r>
        <m:r>
          <m:t>10</m:t>
        </m:r>
        <m:r>
          <m:rPr>
            <m:sty m:val="p"/>
          </m:rPr>
          <m:t>%</m:t>
        </m:r>
        <m:r>
          <m:rPr>
            <m:sty m:val="p"/>
          </m:rPr>
          <m:t>,</m:t>
        </m:r>
        <m:r>
          <m:t>20</m:t>
        </m:r>
        <m:r>
          <m:rPr>
            <m:sty m:val="p"/>
          </m:rPr>
          <m:t>%</m:t>
        </m:r>
        <m:r>
          <m:rPr>
            <m:sty m:val="p"/>
          </m:rPr>
          <m:t>,</m:t>
        </m:r>
        <m:r>
          <m:t>40</m:t>
        </m:r>
        <m:r>
          <m:rPr>
            <m:sty m:val="p"/>
          </m:rPr>
          <m:t>%</m:t>
        </m:r>
        <m:r>
          <m:rPr>
            <m:sty m:val="p"/>
          </m:rPr>
          <m:t>}</m:t>
        </m:r>
      </m:oMath>
      <w:r>
        <w:rPr>
          <w:lang w:val="en-US"/>
        </w:rPr>
        <w:t xml:space="preserve">. The true CPIV</w:t>
      </w:r>
      <w:r>
        <w:rPr>
          <w:lang w:val="en-US"/>
        </w:rPr>
        <w:t xml:space="preserve"> </w:t>
      </w:r>
      <m:oMath>
        <m:r>
          <m:t>τ</m:t>
        </m:r>
      </m:oMath>
      <w:r>
        <w:rPr>
          <w:lang w:val="en-US"/>
        </w:rPr>
        <w:t xml:space="preserve"> </w:t>
      </w:r>
      <w:r>
        <w:rPr>
          <w:lang w:val="en-US"/>
        </w:rPr>
        <w:t xml:space="preserve">is drawn uniformly on</w:t>
      </w:r>
      <w:r>
        <w:rPr>
          <w:lang w:val="en-US"/>
        </w:rPr>
        <w:t xml:space="preserve"> </w:t>
      </w:r>
      <m:oMath>
        <m:r>
          <m:rPr>
            <m:sty m:val="p"/>
          </m:rPr>
          <m:t>(</m:t>
        </m:r>
        <m:r>
          <m:rPr>
            <m:sty m:val="p"/>
          </m:rPr>
          <m:t>−</m:t>
        </m:r>
        <m:r>
          <m:t>5</m:t>
        </m:r>
        <m:r>
          <m:rPr>
            <m:sty m:val="p"/>
          </m:rPr>
          <m:t>,</m:t>
        </m:r>
        <m:r>
          <m:t>5</m:t>
        </m:r>
        <m:r>
          <m:rPr>
            <m:sty m:val="p"/>
          </m:rPr>
          <m:t>)</m:t>
        </m:r>
      </m:oMath>
      <w:r>
        <w:rPr>
          <w:lang w:val="en-US"/>
        </w:rPr>
        <w:t xml:space="preserve"> </w:t>
      </w:r>
      <w:r>
        <w:rPr>
          <w:lang w:val="en-US"/>
        </w:rPr>
        <w:t xml:space="preserve">pp, and the call volatility is</w:t>
      </w:r>
      <w:r>
        <w:rPr>
          <w:lang w:val="en-US"/>
        </w:rPr>
        <w:t xml:space="preserve"> </w:t>
      </w:r>
      <m:oMath>
        <m:sSub>
          <m:e>
            <m:r>
              <m:t>σ</m:t>
            </m:r>
          </m:e>
          <m:sub>
            <m:r>
              <m:t>C</m:t>
            </m:r>
          </m:sub>
        </m:sSub>
        <m:r>
          <m:rPr>
            <m:sty m:val="p"/>
          </m:rPr>
          <m:t>=</m:t>
        </m:r>
        <m:sSub>
          <m:e>
            <m:r>
              <m:t>σ</m:t>
            </m:r>
          </m:e>
          <m:sub>
            <m:r>
              <m:t>P</m:t>
            </m:r>
          </m:sub>
        </m:sSub>
        <m:r>
          <m:rPr>
            <m:sty m:val="p"/>
          </m:rPr>
          <m:t>+</m:t>
        </m:r>
        <m:r>
          <m:t>τ</m:t>
        </m:r>
        <m:r>
          <m:rPr>
            <m:sty m:val="p"/>
          </m:rPr>
          <m:t>/</m:t>
        </m:r>
        <m:r>
          <m:t>100</m:t>
        </m:r>
      </m:oMath>
      <w:r>
        <w:rPr>
          <w:lang w:val="en-US"/>
        </w:rPr>
        <w:t xml:space="preserve">. True premiums are European Black–Scholes–Merton prices. A truly ordered pair has a true CPIV gap of at least 0.5 pp; smaller gaps are ties. Replicate</w:t>
      </w:r>
      <w:r>
        <w:rPr>
          <w:lang w:val="en-US"/>
        </w:rPr>
        <w:t xml:space="preserve"> </w:t>
      </w:r>
      <m:oMath>
        <m:r>
          <m:t>k</m:t>
        </m:r>
      </m:oMath>
      <w:r>
        <w:rPr>
          <w:lang w:val="en-US"/>
        </w:rPr>
        <w:t xml:space="preserve"> </w:t>
      </w:r>
      <w:r>
        <w:rPr>
          <w:lang w:val="en-US"/>
        </w:rPr>
        <w:t xml:space="preserve">of a universe of size</w:t>
      </w:r>
      <w:r>
        <w:rPr>
          <w:lang w:val="en-US"/>
        </w:rPr>
        <w:t xml:space="preserve"> </w:t>
      </w:r>
      <m:oMath>
        <m:r>
          <m:t>n</m:t>
        </m:r>
      </m:oMath>
      <w:r>
        <w:rPr>
          <w:lang w:val="en-US"/>
        </w:rPr>
        <w:t xml:space="preserve"> </w:t>
      </w:r>
      <w:r>
        <w:rPr>
          <w:lang w:val="en-US"/>
        </w:rPr>
        <w:t xml:space="preserve">is seeded from the string</w:t>
      </w:r>
      <w:r>
        <w:rPr>
          <w:lang w:val="en-US"/>
        </w:rPr>
        <w:t xml:space="preserve"> </w:t>
      </w:r>
      <w:r>
        <w:rPr>
          <w:rStyle w:val="VerbatimChar"/>
          <w:lang w:val="en-US"/>
        </w:rPr>
        <w:t xml:space="preserve">20261018:n:k</w:t>
      </w:r>
      <w:r>
        <w:rPr>
          <w:lang w:val="en-US"/>
        </w:rPr>
        <w:t xml:space="preserve">. Each cell uses 200 replicates, and the same draws are reused across tick and spread cells.</w:t>
      </w:r>
    </w:p>
    <w:p>
      <w:pPr>
        <w:pStyle w:val="BodyText"/>
      </w:pPr>
      <w:r>
        <w:rPr>
          <w:lang w:val="en-US"/>
        </w:rPr>
        <w:t xml:space="preserve">Observed prices are the true premium rounded to the nearest tick</w:t>
      </w:r>
      <w:r>
        <w:rPr>
          <w:lang w:val="en-US"/>
        </w:rPr>
        <w:t xml:space="preserve"> </w:t>
      </w:r>
      <m:oMath>
        <m:r>
          <m:t>t</m:t>
        </m:r>
        <m:r>
          <m:rPr>
            <m:sty m:val="p"/>
          </m:rPr>
          <m:t>∈</m:t>
        </m:r>
        <m:r>
          <m:rPr>
            <m:sty m:val="p"/>
          </m:rPr>
          <m:t>{</m:t>
        </m:r>
        <m:r>
          <m:t>0.005</m:t>
        </m:r>
        <m:r>
          <m:rPr>
            <m:sty m:val="p"/>
          </m:rPr>
          <m:t>,</m:t>
        </m:r>
        <m:r>
          <m:t>0.01</m:t>
        </m:r>
        <m:r>
          <m:rPr>
            <m:sty m:val="p"/>
          </m:rPr>
          <m:t>,</m:t>
        </m:r>
        <m:r>
          <m:t>0.05</m:t>
        </m:r>
        <m:r>
          <m:rPr>
            <m:sty m:val="p"/>
          </m:rPr>
          <m:t>}</m:t>
        </m:r>
      </m:oMath>
      <w:r>
        <w:rPr>
          <w:lang w:val="en-US"/>
        </w:rPr>
        <w:t xml:space="preserve">, with a symmetric half-spread</w:t>
      </w:r>
      <w:r>
        <w:rPr>
          <w:lang w:val="en-US"/>
        </w:rPr>
        <w:t xml:space="preserve"> </w:t>
      </w:r>
      <m:oMath>
        <m:r>
          <m:t>h</m:t>
        </m:r>
        <m:r>
          <m:rPr>
            <m:sty m:val="p"/>
          </m:rPr>
          <m:t>∈</m:t>
        </m:r>
        <m:r>
          <m:rPr>
            <m:sty m:val="p"/>
          </m:rPr>
          <m:t>{</m:t>
        </m:r>
        <m:r>
          <m:t>0.01</m:t>
        </m:r>
        <m:r>
          <m:rPr>
            <m:sty m:val="p"/>
          </m:rPr>
          <m:t>,</m:t>
        </m:r>
        <m:r>
          <m:t>0.05</m:t>
        </m:r>
        <m:r>
          <m:rPr>
            <m:sty m:val="p"/>
          </m:rPr>
          <m:t>,</m:t>
        </m:r>
        <m:r>
          <m:t>0.25</m:t>
        </m:r>
        <m:r>
          <m:rPr>
            <m:sty m:val="p"/>
          </m:rPr>
          <m:t>}</m:t>
        </m:r>
      </m:oMath>
      <w:r>
        <w:rPr>
          <w:lang w:val="en-US"/>
        </w:rPr>
        <w:t xml:space="preserve">, both in price units. The quote is</w:t>
      </w:r>
      <w:r>
        <w:rPr>
          <w:lang w:val="en-US"/>
        </w:rPr>
        <w:t xml:space="preserve"> </w:t>
      </w:r>
      <m:oMath>
        <m:r>
          <m:rPr>
            <m:nor/>
            <m:sty m:val="p"/>
          </m:rPr>
          <m:t>bid</m:t>
        </m:r>
        <m:r>
          <m:rPr>
            <m:sty m:val="p"/>
          </m:rPr>
          <m:t>=</m:t>
        </m:r>
        <m:r>
          <m:rPr>
            <m:sty m:val="p"/>
          </m:rPr>
          <m:t>max</m:t>
        </m:r>
        <m:r>
          <m:rPr>
            <m:sty m:val="p"/>
          </m:rPr>
          <m:t>(</m:t>
        </m:r>
        <m:r>
          <m:rPr>
            <m:nor/>
            <m:sty m:val="p"/>
          </m:rPr>
          <m:t>mid</m:t>
        </m:r>
        <m:r>
          <m:rPr>
            <m:sty m:val="p"/>
          </m:rPr>
          <m:t>−</m:t>
        </m:r>
        <m:r>
          <m:t>h</m:t>
        </m:r>
        <m:r>
          <m:rPr>
            <m:sty m:val="p"/>
          </m:rPr>
          <m:t>,</m:t>
        </m:r>
        <m:r>
          <m:t>0</m:t>
        </m:r>
        <m:r>
          <m:rPr>
            <m:sty m:val="p"/>
          </m:rPr>
          <m:t>)</m:t>
        </m:r>
      </m:oMath>
      <w:r>
        <w:rPr>
          <w:lang w:val="en-US"/>
        </w:rPr>
        <w:t xml:space="preserve"> </w:t>
      </w:r>
      <w:r>
        <w:rPr>
          <w:lang w:val="en-US"/>
        </w:rPr>
        <w:t xml:space="preserve">and</w:t>
      </w:r>
      <w:r>
        <w:rPr>
          <w:lang w:val="en-US"/>
        </w:rPr>
        <w:t xml:space="preserve"> </w:t>
      </w:r>
      <m:oMath>
        <m:r>
          <m:rPr>
            <m:nor/>
            <m:sty m:val="p"/>
          </m:rPr>
          <m:t>ask</m:t>
        </m:r>
        <m:r>
          <m:rPr>
            <m:sty m:val="p"/>
          </m:rPr>
          <m:t>=</m:t>
        </m:r>
        <m:r>
          <m:rPr>
            <m:nor/>
            <m:sty m:val="p"/>
          </m:rPr>
          <m:t>mid</m:t>
        </m:r>
        <m:r>
          <m:rPr>
            <m:sty m:val="p"/>
          </m:rPr>
          <m:t>+</m:t>
        </m:r>
        <m:r>
          <m:t>h</m:t>
        </m:r>
      </m:oMath>
      <w:r>
        <w:rPr>
          <w:lang w:val="en-US"/>
        </w:rPr>
        <w:t xml:space="preserve">. The zero floor is the only truncation; because a premium is non-negative, the floor cannot exclude it. The quoted interval contains the true premium whenever</w:t>
      </w:r>
      <w:r>
        <w:rPr>
          <w:lang w:val="en-US"/>
        </w:rPr>
        <w:t xml:space="preserve"> </w:t>
      </w:r>
      <m:oMath>
        <m:r>
          <m:t>h</m:t>
        </m:r>
        <m:r>
          <m:rPr>
            <m:sty m:val="p"/>
          </m:rPr>
          <m:t>≥</m:t>
        </m:r>
        <m:r>
          <m:t>t</m:t>
        </m:r>
        <m:r>
          <m:rPr>
            <m:sty m:val="p"/>
          </m:rPr>
          <m:t>/</m:t>
        </m:r>
        <m:r>
          <m:t>2</m:t>
        </m:r>
      </m:oMath>
      <w:r>
        <w:rPr>
          <w:lang w:val="en-US"/>
        </w:rPr>
        <w:t xml:space="preserve">. Of the nine</w:t>
      </w:r>
      <w:r>
        <w:rPr>
          <w:lang w:val="en-US"/>
        </w:rPr>
        <w:t xml:space="preserve"> </w:t>
      </w:r>
      <m:oMath>
        <m:r>
          <m:rPr>
            <m:sty m:val="p"/>
          </m:rPr>
          <m:t>(</m:t>
        </m:r>
        <m:r>
          <m:t>t</m:t>
        </m:r>
        <m:r>
          <m:rPr>
            <m:sty m:val="p"/>
          </m:rPr>
          <m:t>,</m:t>
        </m:r>
        <m:r>
          <m:t>h</m:t>
        </m:r>
        <m:r>
          <m:rPr>
            <m:sty m:val="p"/>
          </m:rPr>
          <m:t>)</m:t>
        </m:r>
      </m:oMath>
      <w:r>
        <w:rPr>
          <w:lang w:val="en-US"/>
        </w:rPr>
        <w:t xml:space="preserve"> </w:t>
      </w:r>
      <w:r>
        <w:rPr>
          <w:lang w:val="en-US"/>
        </w:rPr>
        <w:t xml:space="preserve">cells, only</w:t>
      </w:r>
      <w:r>
        <w:rPr>
          <w:lang w:val="en-US"/>
        </w:rPr>
        <w:t xml:space="preserve"> </w:t>
      </w:r>
      <m:oMath>
        <m:r>
          <m:rPr>
            <m:sty m:val="p"/>
          </m:rPr>
          <m:t>(</m:t>
        </m:r>
        <m:r>
          <m:t>0.05</m:t>
        </m:r>
        <m:r>
          <m:rPr>
            <m:sty m:val="p"/>
          </m:rPr>
          <m:t>,</m:t>
        </m:r>
        <m:r>
          <m:t>0.01</m:t>
        </m:r>
        <m:r>
          <m:rPr>
            <m:sty m:val="p"/>
          </m:rPr>
          <m:t>)</m:t>
        </m:r>
      </m:oMath>
      <w:r>
        <w:rPr>
          <w:lang w:val="en-US"/>
        </w:rPr>
        <w:t xml:space="preserve"> </w:t>
      </w:r>
      <w:r>
        <w:rPr>
          <w:lang w:val="en-US"/>
        </w:rPr>
        <w:t xml:space="preserve">violates this condition. There a name’s quoted call or put interval misses the true premium for 70.3% of names at</w:t>
      </w:r>
      <w:r>
        <w:rPr>
          <w:lang w:val="en-US"/>
        </w:rPr>
        <w:t xml:space="preserve"> </w:t>
      </w:r>
      <m:oMath>
        <m:r>
          <m:t>n</m:t>
        </m:r>
        <m:r>
          <m:rPr>
            <m:sty m:val="p"/>
          </m:rPr>
          <m:t>=</m:t>
        </m:r>
        <m:r>
          <m:t>10</m:t>
        </m:r>
      </m:oMath>
      <w:r>
        <w:rPr>
          <w:lang w:val="en-US"/>
        </w:rPr>
        <w:t xml:space="preserve"> </w:t>
      </w:r>
      <w:r>
        <w:rPr>
          <w:lang w:val="en-US"/>
        </w:rPr>
        <w:t xml:space="preserve">and 71.7% at</w:t>
      </w:r>
      <w:r>
        <w:rPr>
          <w:lang w:val="en-US"/>
        </w:rPr>
        <w:t xml:space="preserve"> </w:t>
      </w:r>
      <m:oMath>
        <m:r>
          <m:t>n</m:t>
        </m:r>
        <m:r>
          <m:rPr>
            <m:sty m:val="p"/>
          </m:rPr>
          <m:t>=</m:t>
        </m:r>
        <m:r>
          <m:t>50</m:t>
        </m:r>
      </m:oMath>
      <w:r>
        <w:rPr>
          <w:lang w:val="en-US"/>
        </w:rPr>
        <w:t xml:space="preserve">. In every other baseline cell the miss share is zero.</w:t>
      </w:r>
    </w:p>
    <w:p>
      <w:pPr>
        <w:pStyle w:val="BodyText"/>
      </w:pPr>
      <w:r>
        <w:rPr>
          <w:lang w:val="en-US"/>
        </w:rPr>
        <w:t xml:space="preserve">Three rules are compared on the same names:</w:t>
      </w:r>
    </w:p>
    <w:p>
      <w:pPr>
        <w:pStyle w:val="Compact"/>
        <w:numPr>
          <w:ilvl w:val="0"/>
          <w:numId w:val="1001"/>
        </w:numPr>
      </w:pPr>
      <w:r>
        <w:rPr>
          <w:b/>
          <w:bCs/>
          <w:lang w:val="en-US"/>
        </w:rPr>
        <w:t xml:space="preserve">E0</w:t>
      </w:r>
      <w:r>
        <w:rPr>
          <w:lang w:val="en-US"/>
        </w:rPr>
        <w:t xml:space="preserve"> </w:t>
      </w:r>
      <w:r>
        <w:rPr>
          <w:lang w:val="en-US"/>
        </w:rPr>
        <w:t xml:space="preserve">ranks by raw-midpoint CPIV and decides each pair whose two midpoint IVs exist.</w:t>
      </w:r>
    </w:p>
    <w:p>
      <w:pPr>
        <w:pStyle w:val="Compact"/>
        <w:numPr>
          <w:ilvl w:val="0"/>
          <w:numId w:val="1001"/>
        </w:numPr>
      </w:pPr>
      <w:r>
        <w:rPr>
          <w:b/>
          <w:bCs/>
          <w:lang w:val="en-US"/>
        </w:rPr>
        <w:t xml:space="preserve">E1</w:t>
      </w:r>
      <w:r>
        <w:rPr>
          <w:lang w:val="en-US"/>
        </w:rPr>
        <w:t xml:space="preserve"> </w:t>
      </w:r>
      <w:r>
        <w:rPr>
          <w:lang w:val="en-US"/>
        </w:rPr>
        <w:t xml:space="preserve">adds the absolute-vega guard from the price-resolution module (threshold</w:t>
      </w:r>
      <w:r>
        <w:rPr>
          <w:lang w:val="en-US"/>
        </w:rPr>
        <w:t xml:space="preserve"> </w:t>
      </w:r>
      <m:oMath>
        <m:sSup>
          <m:e>
            <m:r>
              <m:t>10</m:t>
            </m:r>
          </m:e>
          <m:sup>
            <m:r>
              <m:rPr>
                <m:sty m:val="p"/>
              </m:rPr>
              <m:t>−</m:t>
            </m:r>
            <m:r>
              <m:t>6</m:t>
            </m:r>
          </m:sup>
        </m:sSup>
      </m:oMath>
      <w:r>
        <w:rPr>
          <w:lang w:val="en-US"/>
        </w:rPr>
        <w:t xml:space="preserve">) and leaves a pair undecided when either name fails it.</w:t>
      </w:r>
    </w:p>
    <w:p>
      <w:pPr>
        <w:pStyle w:val="Compact"/>
        <w:numPr>
          <w:ilvl w:val="0"/>
          <w:numId w:val="1001"/>
        </w:numPr>
      </w:pPr>
      <w:r>
        <w:rPr>
          <w:b/>
          <w:bCs/>
          <w:lang w:val="en-US"/>
        </w:rPr>
        <w:t xml:space="preserve">E2</w:t>
      </w:r>
      <w:r>
        <w:rPr>
          <w:lang w:val="en-US"/>
        </w:rPr>
        <w:t xml:space="preserve"> </w:t>
      </w:r>
      <w:r>
        <w:rPr>
          <w:lang w:val="en-US"/>
        </w:rPr>
        <w:t xml:space="preserve">applies the Table 10 identification screen. Each leg’s OTM-equivalent time value must be at least the tick; the</w:t>
      </w:r>
      <w:r>
        <w:rPr>
          <w:lang w:val="en-US"/>
        </w:rPr>
        <w:t xml:space="preserve"> </w:t>
      </w:r>
      <m:oMath>
        <m:r>
          <m:rPr>
            <m:sty m:val="p"/>
          </m:rPr>
          <m:t>±</m:t>
        </m:r>
        <m:r>
          <m:t>t</m:t>
        </m:r>
      </m:oMath>
      <w:r>
        <w:rPr>
          <w:lang w:val="en-US"/>
        </w:rPr>
        <w:t xml:space="preserve"> </w:t>
      </w:r>
      <w:r>
        <w:rPr>
          <w:lang w:val="en-US"/>
        </w:rPr>
        <w:t xml:space="preserve">price shocks must invert to IV displacements of at most</w:t>
      </w:r>
      <w:r>
        <w:rPr>
          <w:lang w:val="en-US"/>
        </w:rPr>
        <w:t xml:space="preserve"> </w:t>
      </w:r>
      <m:oMath>
        <m:sSub>
          <m:e>
            <m:r>
              <m:t>τ</m:t>
            </m:r>
          </m:e>
          <m:sub>
            <m:r>
              <m:t>I</m:t>
            </m:r>
            <m:r>
              <m:t>V</m:t>
            </m:r>
          </m:sub>
        </m:sSub>
        <m:r>
          <m:rPr>
            <m:sty m:val="p"/>
          </m:rPr>
          <m:t>=</m:t>
        </m:r>
        <m:r>
          <m:t>0.10</m:t>
        </m:r>
      </m:oMath>
      <w:r>
        <w:rPr>
          <w:lang w:val="en-US"/>
        </w:rPr>
        <w:t xml:space="preserve"> </w:t>
      </w:r>
      <w:r>
        <w:rPr>
          <w:lang w:val="en-US"/>
        </w:rPr>
        <w:t xml:space="preserve">pp; and bid and ask IVs must be finite. A pair is ordered only when both names pass and their quote-implied CPIV intervals do not overlap. Otherwise the pair stays undecided.</w:t>
      </w:r>
    </w:p>
    <w:p>
      <w:pPr>
        <w:pStyle w:val="FirstParagraph"/>
      </w:pPr>
      <w:r>
        <w:rPr>
          <w:lang w:val="en-US"/>
        </w:rPr>
        <w:t xml:space="preserve">Three metrics are reported per cell: the decided fraction (share of all pairs given an order), the wrong-order share among decided truly ordered pairs, and the false-exclusion share (truly ordered pairs left undecided). Standard errors are replicate-level,</w:t>
      </w:r>
      <w:r>
        <w:rPr>
          <w:lang w:val="en-US"/>
        </w:rPr>
        <w:t xml:space="preserve"> </w:t>
      </w:r>
      <m:oMath>
        <m:r>
          <m:rPr>
            <m:sty m:val="p"/>
          </m:rPr>
          <m:t>s</m:t>
        </m:r>
        <m:r>
          <m:rPr>
            <m:sty m:val="p"/>
          </m:rPr>
          <m:t>d</m:t>
        </m:r>
        <m:r>
          <m:rPr>
            <m:sty m:val="p"/>
          </m:rPr>
          <m:t>/</m:t>
        </m:r>
        <m:rad>
          <m:radPr>
            <m:degHide m:val="on"/>
          </m:radPr>
          <m:deg/>
          <m:e>
            <m:r>
              <m:t>200</m:t>
            </m:r>
          </m:e>
        </m:rad>
      </m:oMath>
      <w:r>
        <w:rPr>
          <w:lang w:val="en-US"/>
        </w:rPr>
        <w:t xml:space="preserve">. The claim rule credits a benefit only when E0’s wrong-order share exceeds E2’s by more than twice their combined Monte Carlo standard error. Table C3 in Appendix C gives all 18 baseline cells.</w:t>
      </w:r>
    </w:p>
    <w:p>
      <w:pPr>
        <w:pStyle w:val="BodyText"/>
      </w:pPr>
      <w:r>
        <w:rPr>
          <w:lang w:val="en-US"/>
        </w:rPr>
        <w:t xml:space="preserve">At baseline, 26–31% of names lack a midpoint IV in at least one leg. At ticks 0.005 and 0.01 the shortfall sits at</w:t>
      </w:r>
      <w:r>
        <w:rPr>
          <w:lang w:val="en-US"/>
        </w:rPr>
        <w:t xml:space="preserve"> </w:t>
      </w:r>
      <m:oMath>
        <m:r>
          <m:t>S</m:t>
        </m:r>
        <m:r>
          <m:rPr>
            <m:sty m:val="p"/>
          </m:rPr>
          <m:t>/</m:t>
        </m:r>
        <m:r>
          <m:t>K</m:t>
        </m:r>
        <m:r>
          <m:rPr>
            <m:sty m:val="p"/>
          </m:rPr>
          <m:t>=</m:t>
        </m:r>
        <m:r>
          <m:t>0.8</m:t>
        </m:r>
      </m:oMath>
      <w:r>
        <w:rPr>
          <w:lang w:val="en-US"/>
        </w:rPr>
        <w:t xml:space="preserve"> </w:t>
      </w:r>
      <w:r>
        <w:rPr>
          <w:lang w:val="en-US"/>
        </w:rPr>
        <w:t xml:space="preserve">and</w:t>
      </w:r>
      <w:r>
        <w:rPr>
          <w:lang w:val="en-US"/>
        </w:rPr>
        <w:t xml:space="preserve"> </w:t>
      </w:r>
      <m:oMath>
        <m:r>
          <m:t>1.2</m:t>
        </m:r>
      </m:oMath>
      <w:r>
        <w:rPr>
          <w:lang w:val="en-US"/>
        </w:rPr>
        <w:t xml:space="preserve">: at 30 days, both legs at 0.8 (67–71% of names) and the put at 1.2 (65–69%); at 90 days, both legs at 0.8 and the put at 1.2 (25–34%). The 30-day call at 0.9 (21–27%) and put at 1.1 (33–34%) are missing less often, and the 30-day call at 1.2 depends on the tick. No leg is missing at</w:t>
      </w:r>
      <w:r>
        <w:rPr>
          <w:lang w:val="en-US"/>
        </w:rPr>
        <w:t xml:space="preserve"> </w:t>
      </w:r>
      <m:oMath>
        <m:r>
          <m:t>S</m:t>
        </m:r>
        <m:r>
          <m:rPr>
            <m:sty m:val="p"/>
          </m:rPr>
          <m:t>/</m:t>
        </m:r>
        <m:r>
          <m:t>K</m:t>
        </m:r>
        <m:r>
          <m:rPr>
            <m:sty m:val="p"/>
          </m:rPr>
          <m:t>=</m:t>
        </m:r>
        <m:r>
          <m:t>1.0</m:t>
        </m:r>
      </m:oMath>
      <w:r>
        <w:rPr>
          <w:lang w:val="en-US"/>
        </w:rPr>
        <w:t xml:space="preserve">. E0 leaves a pair undecided only when one of its names lacks a midpoint IV, so its decided fraction is about</w:t>
      </w:r>
      <w:r>
        <w:rPr>
          <w:lang w:val="en-US"/>
        </w:rPr>
        <w:t xml:space="preserve"> </w:t>
      </w:r>
      <m:oMath>
        <m:r>
          <m:rPr>
            <m:sty m:val="p"/>
          </m:rPr>
          <m:t>(</m:t>
        </m:r>
        <m:r>
          <m:t>1</m:t>
        </m:r>
        <m:r>
          <m:rPr>
            <m:sty m:val="p"/>
          </m:rPr>
          <m:t>−</m:t>
        </m:r>
        <m:r>
          <m:t>0.27</m:t>
        </m:r>
        <m:sSup>
          <m:e>
            <m:r>
              <m:rPr>
                <m:sty m:val="p"/>
              </m:rPr>
              <m:t>)</m:t>
            </m:r>
          </m:e>
          <m:sup>
            <m:r>
              <m:t>2</m:t>
            </m:r>
          </m:sup>
        </m:sSup>
        <m:r>
          <m:rPr>
            <m:sty m:val="p"/>
          </m:rPr>
          <m:t>≈</m:t>
        </m:r>
        <m:r>
          <m:t>0.53</m:t>
        </m:r>
      </m:oMath>
      <w:r>
        <w:rPr>
          <w:lang w:val="en-US"/>
        </w:rPr>
        <w:t xml:space="preserve">, matching the 51.9–54.5% reported above for ticks 0.005 and 0.01.</w:t>
      </w:r>
    </w:p>
    <w:p>
      <w:pPr>
        <w:pStyle w:val="BodyText"/>
      </w:pPr>
      <w:r>
        <w:rPr>
          <w:lang w:val="en-US"/>
        </w:rPr>
        <w:t xml:space="preserve">The stress scenario shifts each call midpoint by</w:t>
      </w:r>
      <w:r>
        <w:rPr>
          <w:lang w:val="en-US"/>
        </w:rPr>
        <w:t xml:space="preserve"> </w:t>
      </w:r>
      <m:oMath>
        <m:r>
          <m:t>1.5</m:t>
        </m:r>
        <m:r>
          <m:t>h</m:t>
        </m:r>
      </m:oMath>
      <w:r>
        <w:rPr>
          <w:lang w:val="en-US"/>
        </w:rPr>
        <w:t xml:space="preserve"> </w:t>
      </w:r>
      <w:r>
        <w:rPr>
          <w:lang w:val="en-US"/>
        </w:rPr>
        <w:t xml:space="preserve">before rounding and quoting, so the call quote is biased by more than its half-spread. The offset is a design choice, not a calibrated market effect; the scenario tests misspecification of the quote midpoint. Table C4 in Appendix C gives its rows.</w:t>
      </w:r>
    </w:p>
    <w:p>
      <w:pPr>
        <w:pStyle w:val="Compact"/>
        <w:numPr>
          <w:ilvl w:val="0"/>
          <w:numId w:val="1002"/>
        </w:numPr>
      </w:pPr>
      <w:r>
        <w:rPr>
          <w:lang w:val="en-US"/>
        </w:rPr>
        <w:t xml:space="preserve">E1 produced exactly the same decisions as E0 in every cell, so the vega check changed no order in this design. The diagnostics explain why: every name that fails the vega check already lacks a midpoint IV.</w:t>
      </w:r>
    </w:p>
    <w:p>
      <w:pPr>
        <w:pStyle w:val="Compact"/>
        <w:numPr>
          <w:ilvl w:val="0"/>
          <w:numId w:val="1002"/>
        </w:numPr>
      </w:pPr>
      <w:r>
        <w:rPr>
          <w:lang w:val="en-US"/>
        </w:rPr>
        <w:t xml:space="preserve">E2 made no wrong-order decision in any baseline cell where it decided. In the baseline this zero follows from the quote model rather than from the screen: where</w:t>
      </w:r>
      <w:r>
        <w:rPr>
          <w:lang w:val="en-US"/>
        </w:rPr>
        <w:t xml:space="preserve"> </w:t>
      </w:r>
      <m:oMath>
        <m:r>
          <m:t>h</m:t>
        </m:r>
        <m:r>
          <m:rPr>
            <m:sty m:val="p"/>
          </m:rPr>
          <m:t>≥</m:t>
        </m:r>
        <m:r>
          <m:t>t</m:t>
        </m:r>
        <m:r>
          <m:rPr>
            <m:sty m:val="p"/>
          </m:rPr>
          <m:t>/</m:t>
        </m:r>
        <m:r>
          <m:t>2</m:t>
        </m:r>
      </m:oMath>
      <w:r>
        <w:rPr>
          <w:lang w:val="en-US"/>
        </w:rPr>
        <w:t xml:space="preserve"> </w:t>
      </w:r>
      <w:r>
        <w:rPr>
          <w:lang w:val="en-US"/>
        </w:rPr>
        <w:t xml:space="preserve">both quoted intervals contain the true premium, so non-overlapping CPIV intervals order the pair correctly. Its zero standard error reflects zero observed errors, not a bound on the error rate.</w:t>
      </w:r>
    </w:p>
    <w:p>
      <w:pPr>
        <w:pStyle w:val="Compact"/>
        <w:numPr>
          <w:ilvl w:val="0"/>
          <w:numId w:val="1002"/>
        </w:numPr>
      </w:pPr>
      <w:r>
        <w:rPr>
          <w:lang w:val="en-US"/>
        </w:rPr>
        <w:t xml:space="preserve">In each of the 12 baseline cells where E2 decides any pair, E0 is also correct on every pair E2 orders. The E2 advantage therefore comes from the pairs it leaves undecided, not from E0 erring on the pairs E2 orders.</w:t>
      </w:r>
    </w:p>
    <w:p>
      <w:pPr>
        <w:pStyle w:val="Compact"/>
        <w:numPr>
          <w:ilvl w:val="0"/>
          <w:numId w:val="1002"/>
        </w:numPr>
      </w:pPr>
      <w:r>
        <w:rPr>
          <w:lang w:val="en-US"/>
        </w:rPr>
        <w:t xml:space="preserve">At tick 0.05, E2 decided no pairs, because the identification screen fails for every name: a</w:t>
      </w:r>
      <w:r>
        <w:rPr>
          <w:lang w:val="en-US"/>
        </w:rPr>
        <w:t xml:space="preserve"> </w:t>
      </w:r>
      <m:oMath>
        <m:r>
          <m:rPr>
            <m:sty m:val="p"/>
          </m:rPr>
          <m:t>±</m:t>
        </m:r>
        <m:r>
          <m:t>0.05</m:t>
        </m:r>
      </m:oMath>
      <w:r>
        <w:rPr>
          <w:lang w:val="en-US"/>
        </w:rPr>
        <w:t xml:space="preserve"> </w:t>
      </w:r>
      <w:r>
        <w:rPr>
          <w:lang w:val="en-US"/>
        </w:rPr>
        <w:t xml:space="preserve">price shock moves the 30-day at-the-money IV by 0.439 pp, more than four times</w:t>
      </w:r>
      <w:r>
        <w:rPr>
          <w:lang w:val="en-US"/>
        </w:rPr>
        <w:t xml:space="preserve"> </w:t>
      </w:r>
      <m:oMath>
        <m:sSub>
          <m:e>
            <m:r>
              <m:t>τ</m:t>
            </m:r>
          </m:e>
          <m:sub>
            <m:r>
              <m:t>I</m:t>
            </m:r>
            <m:r>
              <m:t>V</m:t>
            </m:r>
          </m:sub>
        </m:sSub>
      </m:oMath>
      <w:r>
        <w:rPr>
          <w:lang w:val="en-US"/>
        </w:rPr>
        <w:t xml:space="preserve">. Every truly ordered pair is therefore left undecided. E0 erred on 1.89–1.95% of its decided truly ordered pairs.</w:t>
      </w:r>
    </w:p>
    <w:p>
      <w:pPr>
        <w:pStyle w:val="Compact"/>
        <w:numPr>
          <w:ilvl w:val="0"/>
          <w:numId w:val="1002"/>
        </w:numPr>
      </w:pPr>
      <w:r>
        <w:rPr>
          <w:lang w:val="en-US"/>
        </w:rPr>
        <w:t xml:space="preserve">At ticks 0.005 and 0.01, E0 erred on 0.06–0.18% of its decided truly ordered pairs and decided 51.9–54.5% of all pairs. E2 decided 1.3–20.3% of all pairs and left 78.3–98.5% of truly ordered pairs undecided, against 45.5–48.2% for E0.</w:t>
      </w:r>
    </w:p>
    <w:p>
      <w:pPr>
        <w:pStyle w:val="Compact"/>
        <w:numPr>
          <w:ilvl w:val="0"/>
          <w:numId w:val="1002"/>
        </w:numPr>
      </w:pPr>
      <w:r>
        <w:rPr>
          <w:lang w:val="en-US"/>
        </w:rPr>
        <w:t xml:space="preserve">The claim rule credits a benefit in 9 of 18 baseline cells. The nine credits come from three distinct</w:t>
      </w:r>
      <w:r>
        <w:rPr>
          <w:lang w:val="en-US"/>
        </w:rPr>
        <w:t xml:space="preserve"> </w:t>
      </w:r>
      <m:oMath>
        <m:r>
          <m:rPr>
            <m:sty m:val="p"/>
          </m:rPr>
          <m:t>(</m:t>
        </m:r>
        <m:r>
          <m:t>n</m:t>
        </m:r>
        <m:r>
          <m:rPr>
            <m:sty m:val="p"/>
          </m:rPr>
          <m:t>,</m:t>
        </m:r>
        <m:r>
          <m:t>t</m:t>
        </m:r>
        <m:r>
          <m:rPr>
            <m:sty m:val="p"/>
          </m:rPr>
          <m:t>)</m:t>
        </m:r>
      </m:oMath>
      <w:r>
        <w:rPr>
          <w:lang w:val="en-US"/>
        </w:rPr>
        <w:t xml:space="preserve"> </w:t>
      </w:r>
      <w:r>
        <w:rPr>
          <w:lang w:val="en-US"/>
        </w:rPr>
        <w:t xml:space="preserve">comparisons:</w:t>
      </w:r>
      <w:r>
        <w:rPr>
          <w:lang w:val="en-US"/>
        </w:rPr>
        <w:t xml:space="preserve"> </w:t>
      </w:r>
      <m:oMath>
        <m:r>
          <m:t>n</m:t>
        </m:r>
        <m:r>
          <m:rPr>
            <m:sty m:val="p"/>
          </m:rPr>
          <m:t>=</m:t>
        </m:r>
        <m:r>
          <m:t>10</m:t>
        </m:r>
      </m:oMath>
      <w:r>
        <w:rPr>
          <w:lang w:val="en-US"/>
        </w:rPr>
        <w:t xml:space="preserve"> </w:t>
      </w:r>
      <w:r>
        <w:rPr>
          <w:lang w:val="en-US"/>
        </w:rPr>
        <w:t xml:space="preserve">at</w:t>
      </w:r>
      <w:r>
        <w:rPr>
          <w:lang w:val="en-US"/>
        </w:rPr>
        <w:t xml:space="preserve"> </w:t>
      </w:r>
      <m:oMath>
        <m:r>
          <m:t>t</m:t>
        </m:r>
        <m:r>
          <m:rPr>
            <m:sty m:val="p"/>
          </m:rPr>
          <m:t>=</m:t>
        </m:r>
        <m:r>
          <m:t>0.005</m:t>
        </m:r>
      </m:oMath>
      <w:r>
        <w:rPr>
          <w:lang w:val="en-US"/>
        </w:rPr>
        <w:t xml:space="preserve"> </w:t>
      </w:r>
      <w:r>
        <w:rPr>
          <w:lang w:val="en-US"/>
        </w:rPr>
        <w:t xml:space="preserve">(reduction 0.126 pp),</w:t>
      </w:r>
      <w:r>
        <w:rPr>
          <w:lang w:val="en-US"/>
        </w:rPr>
        <w:t xml:space="preserve"> </w:t>
      </w:r>
      <m:oMath>
        <m:r>
          <m:t>n</m:t>
        </m:r>
        <m:r>
          <m:rPr>
            <m:sty m:val="p"/>
          </m:rPr>
          <m:t>=</m:t>
        </m:r>
        <m:r>
          <m:t>50</m:t>
        </m:r>
      </m:oMath>
      <w:r>
        <w:rPr>
          <w:lang w:val="en-US"/>
        </w:rPr>
        <w:t xml:space="preserve"> </w:t>
      </w:r>
      <w:r>
        <w:rPr>
          <w:lang w:val="en-US"/>
        </w:rPr>
        <w:t xml:space="preserve">at</w:t>
      </w:r>
      <w:r>
        <w:rPr>
          <w:lang w:val="en-US"/>
        </w:rPr>
        <w:t xml:space="preserve"> </w:t>
      </w:r>
      <m:oMath>
        <m:r>
          <m:t>t</m:t>
        </m:r>
        <m:r>
          <m:rPr>
            <m:sty m:val="p"/>
          </m:rPr>
          <m:t>=</m:t>
        </m:r>
        <m:r>
          <m:t>0.005</m:t>
        </m:r>
      </m:oMath>
      <w:r>
        <w:rPr>
          <w:lang w:val="en-US"/>
        </w:rPr>
        <w:t xml:space="preserve"> </w:t>
      </w:r>
      <w:r>
        <w:rPr>
          <w:lang w:val="en-US"/>
        </w:rPr>
        <w:t xml:space="preserve">(0.175 pp), and</w:t>
      </w:r>
      <w:r>
        <w:rPr>
          <w:lang w:val="en-US"/>
        </w:rPr>
        <w:t xml:space="preserve"> </w:t>
      </w:r>
      <m:oMath>
        <m:r>
          <m:t>n</m:t>
        </m:r>
        <m:r>
          <m:rPr>
            <m:sty m:val="p"/>
          </m:rPr>
          <m:t>=</m:t>
        </m:r>
        <m:r>
          <m:t>50</m:t>
        </m:r>
      </m:oMath>
      <w:r>
        <w:rPr>
          <w:lang w:val="en-US"/>
        </w:rPr>
        <w:t xml:space="preserve"> </w:t>
      </w:r>
      <w:r>
        <w:rPr>
          <w:lang w:val="en-US"/>
        </w:rPr>
        <w:t xml:space="preserve">at</w:t>
      </w:r>
      <w:r>
        <w:rPr>
          <w:lang w:val="en-US"/>
        </w:rPr>
        <w:t xml:space="preserve"> </w:t>
      </w:r>
      <m:oMath>
        <m:r>
          <m:t>t</m:t>
        </m:r>
        <m:r>
          <m:rPr>
            <m:sty m:val="p"/>
          </m:rPr>
          <m:t>=</m:t>
        </m:r>
        <m:r>
          <m:t>0.01</m:t>
        </m:r>
      </m:oMath>
      <w:r>
        <w:rPr>
          <w:lang w:val="en-US"/>
        </w:rPr>
        <w:t xml:space="preserve"> </w:t>
      </w:r>
      <w:r>
        <w:rPr>
          <w:lang w:val="en-US"/>
        </w:rPr>
        <w:t xml:space="preserve">(0.079 pp). E0 does not depend on</w:t>
      </w:r>
      <w:r>
        <w:rPr>
          <w:lang w:val="en-US"/>
        </w:rPr>
        <w:t xml:space="preserve"> </w:t>
      </w:r>
      <m:oMath>
        <m:r>
          <m:t>h</m:t>
        </m:r>
      </m:oMath>
      <w:r>
        <w:rPr>
          <w:lang w:val="en-US"/>
        </w:rPr>
        <w:t xml:space="preserve">, so each comparison gives one reduction, repeated across three spreads. The rule fails at</w:t>
      </w:r>
      <w:r>
        <w:rPr>
          <w:lang w:val="en-US"/>
        </w:rPr>
        <w:t xml:space="preserve"> </w:t>
      </w:r>
      <m:oMath>
        <m:r>
          <m:t>n</m:t>
        </m:r>
        <m:r>
          <m:rPr>
            <m:sty m:val="p"/>
          </m:rPr>
          <m:t>=</m:t>
        </m:r>
        <m:r>
          <m:t>10</m:t>
        </m:r>
      </m:oMath>
      <w:r>
        <w:rPr>
          <w:lang w:val="en-US"/>
        </w:rPr>
        <w:t xml:space="preserve">,</w:t>
      </w:r>
      <w:r>
        <w:rPr>
          <w:lang w:val="en-US"/>
        </w:rPr>
        <w:t xml:space="preserve"> </w:t>
      </w:r>
      <m:oMath>
        <m:r>
          <m:t>t</m:t>
        </m:r>
        <m:r>
          <m:rPr>
            <m:sty m:val="p"/>
          </m:rPr>
          <m:t>=</m:t>
        </m:r>
        <m:r>
          <m:t>0.01</m:t>
        </m:r>
      </m:oMath>
      <w:r>
        <w:rPr>
          <w:lang w:val="en-US"/>
        </w:rPr>
        <w:t xml:space="preserve">, where the reduction is 0.057 pp against a threshold of 0.068 pp.</w:t>
      </w:r>
    </w:p>
    <w:p>
      <w:pPr>
        <w:pStyle w:val="Compact"/>
        <w:numPr>
          <w:ilvl w:val="0"/>
          <w:numId w:val="1002"/>
        </w:numPr>
      </w:pPr>
      <w:r>
        <w:rPr>
          <w:lang w:val="en-US"/>
        </w:rPr>
        <w:t xml:space="preserve">Under stress, E0’s wrong-order share rises to 3.4–29.0% of decided truly ordered pairs, while E2 still made no wrong-order decision. E2’s false-exclusion share stays at 78–100%. In every stress cell except</w:t>
      </w:r>
      <w:r>
        <w:rPr>
          <w:lang w:val="en-US"/>
        </w:rPr>
        <w:t xml:space="preserve"> </w:t>
      </w:r>
      <m:oMath>
        <m:r>
          <m:rPr>
            <m:sty m:val="p"/>
          </m:rPr>
          <m:t>(</m:t>
        </m:r>
        <m:r>
          <m:t>0.05</m:t>
        </m:r>
        <m:r>
          <m:rPr>
            <m:sty m:val="p"/>
          </m:rPr>
          <m:t>,</m:t>
        </m:r>
        <m:r>
          <m:t>0.01</m:t>
        </m:r>
        <m:r>
          <m:rPr>
            <m:sty m:val="p"/>
          </m:rPr>
          <m:t>)</m:t>
        </m:r>
      </m:oMath>
      <w:r>
        <w:rPr>
          <w:lang w:val="en-US"/>
        </w:rPr>
        <w:t xml:space="preserve">, the quoted call or put interval misses the true premium for every name; there the miss share is 70.3% at</w:t>
      </w:r>
      <w:r>
        <w:rPr>
          <w:lang w:val="en-US"/>
        </w:rPr>
        <w:t xml:space="preserve"> </w:t>
      </w:r>
      <m:oMath>
        <m:r>
          <m:t>n</m:t>
        </m:r>
        <m:r>
          <m:rPr>
            <m:sty m:val="p"/>
          </m:rPr>
          <m:t>=</m:t>
        </m:r>
        <m:r>
          <m:t>10</m:t>
        </m:r>
      </m:oMath>
      <w:r>
        <w:rPr>
          <w:lang w:val="en-US"/>
        </w:rPr>
        <w:t xml:space="preserve"> </w:t>
      </w:r>
      <w:r>
        <w:rPr>
          <w:lang w:val="en-US"/>
        </w:rPr>
        <w:t xml:space="preserve">and 71.7% at</w:t>
      </w:r>
      <w:r>
        <w:rPr>
          <w:lang w:val="en-US"/>
        </w:rPr>
        <w:t xml:space="preserve"> </w:t>
      </w:r>
      <m:oMath>
        <m:r>
          <m:t>n</m:t>
        </m:r>
        <m:r>
          <m:rPr>
            <m:sty m:val="p"/>
          </m:rPr>
          <m:t>=</m:t>
        </m:r>
        <m:r>
          <m:t>50</m:t>
        </m:r>
      </m:oMath>
      <w:r>
        <w:rPr>
          <w:lang w:val="en-US"/>
        </w:rPr>
        <w:t xml:space="preserve">, as in the baseline. Because coverage fails, the argument for zero errors does not apply under stress. E2 still made no wrong-order decision in any stress cell where it decided, so that zero is an observed result for this design.</w:t>
      </w:r>
    </w:p>
    <w:p>
      <w:pPr>
        <w:pStyle w:val="FirstParagraph"/>
      </w:pPr>
      <w:r>
        <w:rPr>
          <w:lang w:val="en-US"/>
        </w:rPr>
        <w:t xml:space="preserve">In the nine credited cells the wrong-order share falls by 0.08–0.18 percentage points of decided pairs, an absolute reduction. It is bought with 32–53 percentage points more truly ordered pairs left undecided. Relative to E0’s error share the reduction looks large, because E2 made no observed wrong decision, but that zero is an observation, not an estimate of E2’s error rate.</w:t>
      </w:r>
    </w:p>
    <w:p>
      <w:pPr>
        <w:pStyle w:val="BodyText"/>
      </w:pPr>
      <w:r>
        <w:rPr>
          <w:lang w:val="en-US"/>
        </w:rPr>
        <w:t xml:space="preserve">The cost of abstention is the ratio of totals: correct E0 orders on pairs E2 leaves undecided, per E0 error avoided. In the baseline this ratio is 340–1,360 at ticks 0.005 and 0.01 and 51–56 at tick 0.05, because E0 errors are rare. Under stress it falls to 2.3–28.7.</w:t>
      </w:r>
    </w:p>
    <w:p>
      <w:pPr>
        <w:pStyle w:val="BodyText"/>
      </w:pPr>
      <w:r>
        <w:rPr>
          <w:lang w:val="en-US"/>
        </w:rPr>
        <w:t xml:space="preserve">In this synthetic design the identification screen trades coverage for an absolute reduction of 0.08–0.18 pp in the wrong-order share. The result does not show that the screen improves decisions on real quotes. The truth, the quote and spread model, the stress offset, the tie margin, and the universe are design choices, and no market quote was used.</w:t>
      </w:r>
    </w:p>
    <w:bookmarkEnd w:id="51"/>
    <w:bookmarkEnd w:id="52"/>
    <w:bookmarkStart w:id="53" w:name="interpretation-and-limits"/>
    <w:p>
      <w:pPr>
        <w:pStyle w:val="Heading2"/>
      </w:pPr>
      <w:r>
        <w:rPr>
          <w:lang w:val="en-US"/>
        </w:rPr>
        <w:t xml:space="preserve">8. Interpretation and limits</w:t>
      </w:r>
    </w:p>
    <w:p>
      <w:pPr>
        <w:pStyle w:val="FirstParagraph"/>
      </w:pPr>
      <w:r>
        <w:rPr>
          <w:lang w:val="en-US"/>
        </w:rPr>
        <w:t xml:space="preserve">For carry screening, the local rule is</w:t>
      </w:r>
      <w:r>
        <w:rPr>
          <w:lang w:val="en-US"/>
        </w:rPr>
        <w:t xml:space="preserve"> </w:t>
      </w:r>
      <m:oMath>
        <m:r>
          <m:rPr>
            <m:sty m:val="p"/>
          </m:rPr>
          <m:t>|</m:t>
        </m:r>
        <m:r>
          <m:rPr>
            <m:sty m:val="p"/>
          </m:rPr>
          <m:t>Δ</m:t>
        </m:r>
        <m:r>
          <m:t>C</m:t>
        </m:r>
        <m:r>
          <m:t>P</m:t>
        </m:r>
        <m:r>
          <m:t>I</m:t>
        </m:r>
        <m:sSub>
          <m:e>
            <m:r>
              <m:t>V</m:t>
            </m:r>
          </m:e>
          <m:sub>
            <m:r>
              <m:t>p</m:t>
            </m:r>
            <m:r>
              <m:t>p</m:t>
            </m:r>
          </m:sub>
        </m:sSub>
        <m:r>
          <m:rPr>
            <m:sty m:val="p"/>
          </m:rPr>
          <m:t>|</m:t>
        </m:r>
        <m:r>
          <m:rPr>
            <m:sty m:val="p"/>
          </m:rPr>
          <m:t>≈</m:t>
        </m:r>
        <m:r>
          <m:rPr>
            <m:sty m:val="p"/>
          </m:rPr>
          <m:t>|</m:t>
        </m:r>
        <m:r>
          <m:rPr>
            <m:sty m:val="p"/>
          </m:rPr>
          <m:t>∂</m:t>
        </m:r>
        <m:r>
          <m:t>C</m:t>
        </m:r>
        <m:r>
          <m:t>P</m:t>
        </m:r>
        <m:r>
          <m:t>I</m:t>
        </m:r>
        <m:sSub>
          <m:e>
            <m:r>
              <m:t>V</m:t>
            </m:r>
          </m:e>
          <m:sub>
            <m:r>
              <m:t>p</m:t>
            </m:r>
            <m:r>
              <m:t>p</m:t>
            </m:r>
          </m:sub>
        </m:sSub>
        <m:r>
          <m:rPr>
            <m:sty m:val="p"/>
          </m:rPr>
          <m:t>/</m:t>
        </m:r>
        <m:r>
          <m:rPr>
            <m:sty m:val="p"/>
          </m:rPr>
          <m:t>∂</m:t>
        </m:r>
        <m:r>
          <m:rPr>
            <m:sty m:val="p"/>
          </m:rPr>
          <m:t>log</m:t>
        </m:r>
        <m:r>
          <m:t>F</m:t>
        </m:r>
        <m:r>
          <m:rPr>
            <m:sty m:val="p"/>
          </m:rPr>
          <m:t>|</m:t>
        </m:r>
        <m:r>
          <m:t> </m:t>
        </m:r>
        <m:r>
          <m:rPr>
            <m:sty m:val="p"/>
          </m:rPr>
          <m:t>|</m:t>
        </m:r>
        <m:r>
          <m:rPr>
            <m:sty m:val="p"/>
          </m:rPr>
          <m:t>Δ</m:t>
        </m:r>
        <m:r>
          <m:rPr>
            <m:sty m:val="p"/>
          </m:rPr>
          <m:t>log</m:t>
        </m:r>
        <m:r>
          <m:t>F</m:t>
        </m:r>
        <m:r>
          <m:rPr>
            <m:sty m:val="p"/>
          </m:rPr>
          <m:t>|</m:t>
        </m:r>
        <m:r>
          <m:rPr>
            <m:sty m:val="p"/>
          </m:rPr>
          <m:t>≤</m:t>
        </m:r>
        <m:sSub>
          <m:e>
            <m:r>
              <m:t>τ</m:t>
            </m:r>
          </m:e>
          <m:sub>
            <m:r>
              <m:t>c</m:t>
            </m:r>
            <m:r>
              <m:t>a</m:t>
            </m:r>
            <m:r>
              <m:t>r</m:t>
            </m:r>
            <m:r>
              <m:t>r</m:t>
            </m:r>
            <m:r>
              <m:t>y</m:t>
            </m:r>
          </m:sub>
        </m:sSub>
      </m:oMath>
      <w:r>
        <w:rPr>
          <w:lang w:val="en-US"/>
        </w:rPr>
        <w:t xml:space="preserve">, followed by exact re-inversion for finite discrepancies. In the synthetic ATM, 30-day, 20%-IV example, 1 basis point of relative-forward mismatch corresponds locally to 0.087469 CPIV points; a 1-point tolerance therefore corresponds to about 11.4326 basis points. This conversion is specific to that configuration, not a default market tolerance.</w:t>
      </w:r>
    </w:p>
    <w:p>
      <w:pPr>
        <w:pStyle w:val="BodyText"/>
      </w:pPr>
      <w:r>
        <w:rPr>
          <w:lang w:val="en-US"/>
        </w:rPr>
        <w:t xml:space="preserve">The exact identity is an algebraic diagnostic under a specified European BSM inversion, not an economic explanation. Since CPIV and</w:t>
      </w:r>
      <w:r>
        <w:rPr>
          <w:lang w:val="en-US"/>
        </w:rPr>
        <w:t xml:space="preserve"> </w:t>
      </w:r>
      <m:oMath>
        <m:r>
          <m:t>R</m:t>
        </m:r>
      </m:oMath>
      <w:r>
        <w:rPr>
          <w:lang w:val="en-US"/>
        </w:rPr>
        <w:t xml:space="preserve"> </w:t>
      </w:r>
      <w:r>
        <w:rPr>
          <w:lang w:val="en-US"/>
        </w:rPr>
        <w:t xml:space="preserve">are linked through the same option prices and common inputs, observing both does not provide two independent signals. A forward inferred from the same call–put pair and then used to force that pair’s parity residual toward zero would be circular. Independent synchronized inputs, multiple strikes with leave-one-pair-out checks, or an externally sourced forward are needed for a separate validation design.</w:t>
      </w:r>
    </w:p>
    <w:p>
      <w:pPr>
        <w:pStyle w:val="BodyText"/>
      </w:pPr>
      <w:r>
        <w:rPr>
          <w:lang w:val="en-US"/>
        </w:rPr>
        <w:t xml:space="preserve">Quote intervals are useful for showing whether signs or ranks survive the selected bid–ask endpoints. They do not account automatically for quote dependence, stale legs, discrete ticks, hidden liquidity, transaction costs, exercise features, or model choice. Hentschel (2003) and Muravyev and Pearson (2020) motivate attention to these issues, but their empirical estimates are not transplanted into this synthetic experiment.</w:t>
      </w:r>
    </w:p>
    <w:p>
      <w:pPr>
        <w:pStyle w:val="BodyText"/>
      </w:pPr>
      <w:r>
        <w:rPr>
          <w:lang w:val="en-US"/>
        </w:rPr>
        <w:t xml:space="preserve">The ranking exercise is a controlled stress test. Its signal vectors are prescribed, its noise scales are chosen for illustration, and its distributional assumptions are not calibrated to market data. The Wilson intervals capture finite simulation uncertainty conditional on those choices only. The experiment cannot estimate real-world ranking error, sign error, strategy turnover, profitability, or expected returns.</w:t>
      </w:r>
    </w:p>
    <w:p>
      <w:pPr>
        <w:pStyle w:val="BodyText"/>
      </w:pPr>
      <w:r>
        <w:rPr>
          <w:lang w:val="en-US"/>
        </w:rPr>
        <w:t xml:space="preserve">We do not claim a novel parity identity or an empirically superior estimator. The contribution is the explicit specification and implementation of an integrated diagnostic workflow, together with documented synthetic numerical stress tests. The only workflow comparison in this version is the synthetic study of Section 7.9, which contrasts the Table 10 screen with raw-midpoint CPIV and the baseline vega check against the simulator’s own truth. It does not compare minimally filtered or synchronized-input CPIV, and it uses no calibrated ground truth or market observations. Its credited benefits are absolute reductions of 0.08–0.18 percentage points in the wrong-order share of decided pairs, from three distinct</w:t>
      </w:r>
      <w:r>
        <w:rPr>
          <w:lang w:val="en-US"/>
        </w:rPr>
        <w:t xml:space="preserve"> </w:t>
      </w:r>
      <m:oMath>
        <m:r>
          <m:rPr>
            <m:sty m:val="p"/>
          </m:rPr>
          <m:t>(</m:t>
        </m:r>
        <m:r>
          <m:t>n</m:t>
        </m:r>
        <m:r>
          <m:rPr>
            <m:sty m:val="p"/>
          </m:rPr>
          <m:t>,</m:t>
        </m:r>
        <m:r>
          <m:t>t</m:t>
        </m:r>
        <m:r>
          <m:rPr>
            <m:sty m:val="p"/>
          </m:rPr>
          <m:t>)</m:t>
        </m:r>
      </m:oMath>
      <w:r>
        <w:rPr>
          <w:lang w:val="en-US"/>
        </w:rPr>
        <w:t xml:space="preserve"> </w:t>
      </w:r>
      <w:r>
        <w:rPr>
          <w:lang w:val="en-US"/>
        </w:rPr>
        <w:t xml:space="preserve">comparisons, obtained by leaving far more truly ordered pairs undecided. It therefore establishes a coverage–error trade-off in a synthetic design, not incremental decision value or superior diagnostic performance. Comparative validation on market quotes would additionally require a declared target and calibration source, real retained-data coverage, and ranking-stability checks; it is outside this synthetic note.</w:t>
      </w:r>
    </w:p>
    <w:p>
      <w:pPr>
        <w:pStyle w:val="BodyText"/>
      </w:pPr>
      <w:r>
        <w:rPr>
          <w:lang w:val="en-US"/>
        </w:rPr>
        <w:t xml:space="preserve">The study contains no historical option chain, underlying return panel, market-wide positions or liquidation census, out-of-sample test, transaction-cost-adjusted portfolio, or causal design. It therefore makes no alpha claim and does not close an empirical-market-data gate. A market study would need a defined universe, synchronized quotes and underlying observations, contract and exercise-style controls, explicit filters, a held-out time period, and a preregistered analysis plan before its results could support market claims.</w:t>
      </w:r>
    </w:p>
    <w:p>
      <w:pPr>
        <w:pStyle w:val="BodyText"/>
        <w:pageBreakBefore/>
      </w:pPr>
      <w:r>
        <w:rPr>
          <w:lang w:val="en-US"/>
        </w:rPr>
        <w:t xml:space="preserve">The proposed staged checklist for future paired-option work is summarized in Table 10. It is an operational protocol, not market validation of the synthetic results.</w:t>
      </w:r>
    </w:p>
    <w:p>
      <w:pPr>
        <w:pStyle w:val="BodyText"/>
      </w:pPr>
      <w:r>
        <w:rPr>
          <w:b/>
          <w:bCs/>
          <w:lang w:val="en-US"/>
        </w:rPr>
        <w:t xml:space="preserve">Table 10.</w:t>
      </w:r>
      <w:r>
        <w:rPr>
          <w:lang w:val="en-US"/>
        </w:rPr>
        <w:t xml:space="preserve"> </w:t>
      </w:r>
      <w:r>
        <w:rPr>
          <w:lang w:val="en-US"/>
        </w:rPr>
        <w:t xml:space="preserve">Operational diagnostic protocol proposed by this note; when required inputs or matching checks are unavailable, retain an unresolved status rather than infer a pass.</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Stage</w:t>
            </w:r>
          </w:p>
        </w:tc>
        <w:tc>
          <w:tcPr/>
          <w:p>
            <w:pPr>
              <w:pStyle w:val="Compact"/>
              <w:jc w:val="left"/>
            </w:pPr>
            <w:r>
              <w:rPr>
                <w:lang w:val="en-US"/>
              </w:rPr>
              <w:t xml:space="preserve">Inputs</w:t>
            </w:r>
          </w:p>
        </w:tc>
        <w:tc>
          <w:tcPr/>
          <w:p>
            <w:pPr>
              <w:pStyle w:val="Compact"/>
              <w:jc w:val="left"/>
            </w:pPr>
            <w:r>
              <w:rPr>
                <w:lang w:val="en-US"/>
              </w:rPr>
              <w:t xml:space="preserve">Check</w:t>
            </w:r>
          </w:p>
        </w:tc>
        <w:tc>
          <w:tcPr/>
          <w:p>
            <w:pPr>
              <w:pStyle w:val="Compact"/>
              <w:jc w:val="left"/>
            </w:pPr>
            <w:r>
              <w:rPr>
                <w:lang w:val="en-US"/>
              </w:rPr>
              <w:t xml:space="preserve">Output/status</w:t>
            </w:r>
          </w:p>
        </w:tc>
        <w:tc>
          <w:tcPr/>
          <w:p>
            <w:pPr>
              <w:pStyle w:val="Compact"/>
              <w:jc w:val="left"/>
            </w:pPr>
            <w:r>
              <w:rPr>
                <w:lang w:val="en-US"/>
              </w:rPr>
              <w:t xml:space="preserve">Action</w:t>
            </w:r>
          </w:p>
        </w:tc>
      </w:tr>
      <w:tr>
        <w:tc>
          <w:tcPr/>
          <w:p>
            <w:pPr>
              <w:pStyle w:val="Compact"/>
              <w:jc w:val="left"/>
            </w:pPr>
            <w:r>
              <w:rPr>
                <w:lang w:val="en-US"/>
              </w:rPr>
              <w:t xml:space="preserve">Contract matching</w:t>
            </w:r>
          </w:p>
        </w:tc>
        <w:tc>
          <w:tcPr/>
          <w:p>
            <w:pPr>
              <w:pStyle w:val="Compact"/>
              <w:jc w:val="left"/>
            </w:pPr>
            <w:r>
              <w:rPr>
                <w:lang w:val="en-US"/>
              </w:rPr>
              <w:t xml:space="preserve">Underlying, option type, strike, expiry, exercise style, multiplier</w:t>
            </w:r>
          </w:p>
        </w:tc>
        <w:tc>
          <w:tcPr/>
          <w:p>
            <w:pPr>
              <w:pStyle w:val="Compact"/>
              <w:jc w:val="left"/>
            </w:pPr>
            <w:r>
              <w:rPr>
                <w:lang w:val="en-US"/>
              </w:rPr>
              <w:t xml:space="preserve">Same pair definition and supported model</w:t>
            </w:r>
          </w:p>
        </w:tc>
        <w:tc>
          <w:tcPr/>
          <w:p>
            <w:pPr>
              <w:pStyle w:val="Compact"/>
              <w:jc w:val="left"/>
            </w:pPr>
            <w:r>
              <w:rPr>
                <w:lang w:val="en-US"/>
              </w:rPr>
              <w:t xml:space="preserve">Matched / mismatch / unknown</w:t>
            </w:r>
          </w:p>
        </w:tc>
        <w:tc>
          <w:tcPr/>
          <w:p>
            <w:pPr>
              <w:pStyle w:val="Compact"/>
              <w:jc w:val="left"/>
            </w:pPr>
            <w:r>
              <w:rPr>
                <w:lang w:val="en-US"/>
              </w:rPr>
              <w:t xml:space="preserve">Reject mismatch or analyze separately; do not pair unknown contracts</w:t>
            </w:r>
          </w:p>
        </w:tc>
      </w:tr>
      <w:tr>
        <w:tc>
          <w:tcPr/>
          <w:p>
            <w:pPr>
              <w:pStyle w:val="Compact"/>
              <w:jc w:val="left"/>
            </w:pPr>
            <w:r>
              <w:rPr>
                <w:lang w:val="en-US"/>
              </w:rPr>
              <w:t xml:space="preserve">Timestamp validation</w:t>
            </w:r>
          </w:p>
        </w:tc>
        <w:tc>
          <w:tcPr/>
          <w:p>
            <w:pPr>
              <w:pStyle w:val="Compact"/>
              <w:jc w:val="left"/>
            </w:pPr>
            <w:r>
              <w:rPr>
                <w:lang w:val="en-US"/>
              </w:rPr>
              <w:t xml:space="preserve">Option-leg and underlying timestamps; predeclared tolerance</w:t>
            </w:r>
          </w:p>
        </w:tc>
        <w:tc>
          <w:tcPr/>
          <w:p>
            <w:pPr>
              <w:pStyle w:val="Compact"/>
              <w:jc w:val="left"/>
            </w:pPr>
            <w:r>
              <w:rPr>
                <w:lang w:val="en-US"/>
              </w:rPr>
              <w:t xml:space="preserve">Quote/spot synchronization</w:t>
            </w:r>
          </w:p>
        </w:tc>
        <w:tc>
          <w:tcPr/>
          <w:p>
            <w:pPr>
              <w:pStyle w:val="Compact"/>
              <w:jc w:val="left"/>
            </w:pPr>
            <w:r>
              <w:rPr>
                <w:lang w:val="en-US"/>
              </w:rPr>
              <w:t xml:space="preserve">Synchronized / stale / unknown</w:t>
            </w:r>
          </w:p>
        </w:tc>
        <w:tc>
          <w:tcPr/>
          <w:p>
            <w:pPr>
              <w:pStyle w:val="Compact"/>
              <w:jc w:val="left"/>
            </w:pPr>
            <w:r>
              <w:rPr>
                <w:lang w:val="en-US"/>
              </w:rPr>
              <w:t xml:space="preserve">Flag stale or unknown; do not silently substitute a spot</w:t>
            </w:r>
          </w:p>
        </w:tc>
      </w:tr>
      <w:tr>
        <w:tc>
          <w:tcPr/>
          <w:p>
            <w:pPr>
              <w:pStyle w:val="Compact"/>
              <w:jc w:val="left"/>
            </w:pPr>
            <w:r>
              <w:rPr>
                <w:lang w:val="en-US"/>
              </w:rPr>
              <w:t xml:space="preserve">Carry/forward validation</w:t>
            </w:r>
          </w:p>
        </w:tc>
        <w:tc>
          <w:tcPr/>
          <w:p>
            <w:pPr>
              <w:pStyle w:val="Compact"/>
              <w:jc w:val="left"/>
            </w:pPr>
            <w:r>
              <w:rPr>
                <w:lang w:val="en-US"/>
              </w:rPr>
              <w:t xml:space="preserve">Independently sourced synchronized spot, forward, rate, maturity; predeclared carry tolerance</w:t>
            </w:r>
            <w:r>
              <w:rPr>
                <w:lang w:val="en-US"/>
              </w:rPr>
              <w:t xml:space="preserve"> </w:t>
            </w:r>
            <m:oMath>
              <m:sSub>
                <m:e>
                  <m:r>
                    <m:t>τ</m:t>
                  </m:r>
                </m:e>
                <m:sub>
                  <m:r>
                    <m:t>c</m:t>
                  </m:r>
                  <m:r>
                    <m:t>a</m:t>
                  </m:r>
                  <m:r>
                    <m:t>r</m:t>
                  </m:r>
                  <m:r>
                    <m:t>r</m:t>
                  </m:r>
                  <m:r>
                    <m:t>y</m:t>
                  </m:r>
                </m:sub>
              </m:sSub>
            </m:oMath>
            <w:r>
              <w:rPr>
                <w:lang w:val="en-US"/>
              </w:rPr>
              <w:t xml:space="preserve"> </w:t>
            </w:r>
            <w:r>
              <w:rPr>
                <w:lang w:val="en-US"/>
              </w:rPr>
              <w:t xml:space="preserve">pp</w:t>
            </w:r>
          </w:p>
        </w:tc>
        <w:tc>
          <w:tcPr/>
          <w:p>
            <w:pPr>
              <w:pStyle w:val="Compact"/>
              <w:jc w:val="left"/>
            </w:pPr>
            <w:r>
              <w:rPr>
                <w:lang w:val="en-US"/>
              </w:rPr>
              <w:t xml:space="preserve">Check</w:t>
            </w:r>
            <w:r>
              <w:rPr>
                <w:lang w:val="en-US"/>
              </w:rPr>
              <w:t xml:space="preserve"> </w:t>
            </w:r>
            <m:oMath>
              <m:r>
                <m:t>F</m:t>
              </m:r>
              <m:r>
                <m:rPr>
                  <m:sty m:val="p"/>
                </m:rPr>
                <m:t>≈</m:t>
              </m:r>
              <m:r>
                <m:t>S</m:t>
              </m:r>
              <m:r>
                <m:rPr>
                  <m:sty m:val="p"/>
                </m:rPr>
                <m:t>exp</m:t>
              </m:r>
              <m:r>
                <m:rPr>
                  <m:sty m:val="p"/>
                </m:rPr>
                <m:t>(</m:t>
              </m:r>
              <m:r>
                <m:rPr>
                  <m:sty m:val="p"/>
                </m:rPr>
                <m:t>(</m:t>
              </m:r>
              <m:r>
                <m:t>r</m:t>
              </m:r>
              <m:r>
                <m:rPr>
                  <m:sty m:val="p"/>
                </m:rPr>
                <m:t>−</m:t>
              </m:r>
              <m:r>
                <m:t>q</m:t>
              </m:r>
              <m:r>
                <m:rPr>
                  <m:sty m:val="p"/>
                </m:rPr>
                <m:t>)</m:t>
              </m:r>
              <m:r>
                <m:t>T</m:t>
              </m:r>
              <m:r>
                <m:rPr>
                  <m:sty m:val="p"/>
                </m:rPr>
                <m:t>)</m:t>
              </m:r>
            </m:oMath>
            <w:r>
              <w:rPr>
                <w:lang w:val="en-US"/>
              </w:rPr>
              <w:t xml:space="preserve">; translate mismatch with the local gradient and re-invert finite mismatches</w:t>
            </w:r>
          </w:p>
        </w:tc>
        <w:tc>
          <w:tcPr/>
          <w:p>
            <w:pPr>
              <w:pStyle w:val="Compact"/>
              <w:jc w:val="left"/>
            </w:pPr>
            <w:r>
              <w:rPr>
                <w:lang w:val="en-US"/>
              </w:rPr>
              <w:t xml:space="preserve">Validated / inconsistent / unknown</w:t>
            </w:r>
          </w:p>
        </w:tc>
        <w:tc>
          <w:tcPr/>
          <w:p>
            <w:pPr>
              <w:pStyle w:val="Compact"/>
              <w:jc w:val="left"/>
            </w:pPr>
            <w:r>
              <w:rPr>
                <w:lang w:val="en-US"/>
              </w:rPr>
              <w:t xml:space="preserve">State tolerance in CPIV points; never infer the forward from the same option pair</w:t>
            </w:r>
          </w:p>
        </w:tc>
      </w:tr>
      <w:tr>
        <w:tc>
          <w:tcPr/>
          <w:p>
            <w:pPr>
              <w:pStyle w:val="Compact"/>
              <w:jc w:val="left"/>
            </w:pPr>
            <w:r>
              <w:rPr>
                <w:lang w:val="en-US"/>
              </w:rPr>
              <w:t xml:space="preserve">Price validation</w:t>
            </w:r>
          </w:p>
        </w:tc>
        <w:tc>
          <w:tcPr/>
          <w:p>
            <w:pPr>
              <w:pStyle w:val="Compact"/>
              <w:jc w:val="left"/>
            </w:pPr>
            <w:r>
              <w:rPr>
                <w:lang w:val="en-US"/>
              </w:rPr>
              <w:t xml:space="preserve">Bid/ask or selected price, common inputs, European bounds</w:t>
            </w:r>
          </w:p>
        </w:tc>
        <w:tc>
          <w:tcPr/>
          <w:p>
            <w:pPr>
              <w:pStyle w:val="Compact"/>
              <w:jc w:val="left"/>
            </w:pPr>
            <w:r>
              <w:rPr>
                <w:lang w:val="en-US"/>
              </w:rPr>
              <w:t xml:space="preserve">Finite inputs and bound admissibility</w:t>
            </w:r>
          </w:p>
        </w:tc>
        <w:tc>
          <w:tcPr/>
          <w:p>
            <w:pPr>
              <w:pStyle w:val="Compact"/>
              <w:jc w:val="left"/>
            </w:pPr>
            <w:r>
              <w:rPr>
                <w:lang w:val="en-US"/>
              </w:rPr>
              <w:t xml:space="preserve">Valid / theoretical-bound violation / unresolved</w:t>
            </w:r>
          </w:p>
        </w:tc>
        <w:tc>
          <w:tcPr/>
          <w:p>
            <w:pPr>
              <w:pStyle w:val="Compact"/>
              <w:jc w:val="left"/>
            </w:pPr>
            <w:r>
              <w:rPr>
                <w:lang w:val="en-US"/>
              </w:rPr>
              <w:t xml:space="preserve">Preserve failure status; never clip prices into bounds</w:t>
            </w:r>
          </w:p>
        </w:tc>
      </w:tr>
      <w:tr>
        <w:tc>
          <w:tcPr/>
          <w:p>
            <w:pPr>
              <w:pStyle w:val="Compact"/>
              <w:jc w:val="left"/>
            </w:pPr>
            <w:r>
              <w:rPr>
                <w:lang w:val="en-US"/>
              </w:rPr>
              <w:t xml:space="preserve">IV inversion</w:t>
            </w:r>
          </w:p>
        </w:tc>
        <w:tc>
          <w:tcPr/>
          <w:p>
            <w:pPr>
              <w:pStyle w:val="Compact"/>
              <w:jc w:val="left"/>
            </w:pPr>
            <w:r>
              <w:rPr>
                <w:lang w:val="en-US"/>
              </w:rPr>
              <w:t xml:space="preserve">Price, common contract inputs, solver bracket and iteration rule</w:t>
            </w:r>
          </w:p>
        </w:tc>
        <w:tc>
          <w:tcPr/>
          <w:p>
            <w:pPr>
              <w:pStyle w:val="Compact"/>
              <w:jc w:val="left"/>
            </w:pPr>
            <w:r>
              <w:rPr>
                <w:lang w:val="en-US"/>
              </w:rPr>
              <w:t xml:space="preserve">Root exists; report convergence and repricing error</w:t>
            </w:r>
          </w:p>
        </w:tc>
        <w:tc>
          <w:tcPr/>
          <w:p>
            <w:pPr>
              <w:pStyle w:val="Compact"/>
              <w:jc w:val="left"/>
            </w:pPr>
            <w:r>
              <w:rPr>
                <w:lang w:val="en-US"/>
              </w:rPr>
              <w:t xml:space="preserve">IV with solver status / unresolved</w:t>
            </w:r>
          </w:p>
        </w:tc>
        <w:tc>
          <w:tcPr/>
          <w:p>
            <w:pPr>
              <w:pStyle w:val="Compact"/>
              <w:jc w:val="left"/>
            </w:pPr>
            <w:r>
              <w:rPr>
                <w:lang w:val="en-US"/>
              </w:rPr>
              <w:t xml:space="preserve">Retain status and diagnostics; distinguish bracket rejection from invalid quote</w:t>
            </w:r>
          </w:p>
        </w:tc>
      </w:tr>
      <w:tr>
        <w:tc>
          <w:tcPr/>
          <w:p>
            <w:pPr>
              <w:pStyle w:val="Compact"/>
              <w:jc w:val="left"/>
            </w:pPr>
            <w:r>
              <w:rPr>
                <w:lang w:val="en-US"/>
              </w:rPr>
              <w:t xml:space="preserve">Price identification and precision</w:t>
            </w:r>
          </w:p>
        </w:tc>
        <w:tc>
          <w:tcPr/>
          <w:p>
            <w:pPr>
              <w:pStyle w:val="Compact"/>
              <w:jc w:val="left"/>
            </w:pPr>
            <w:r>
              <w:rPr>
                <w:lang w:val="en-US"/>
              </w:rPr>
              <w:t xml:space="preserve">Declared tick,</w:t>
            </w:r>
            <w:r>
              <w:rPr>
                <w:lang w:val="en-US"/>
              </w:rPr>
              <w:t xml:space="preserve"> </w:t>
            </w:r>
            <m:oMath>
              <m:sSub>
                <m:e>
                  <m:r>
                    <m:t>X</m:t>
                  </m:r>
                </m:e>
                <m:sub>
                  <m:r>
                    <m:t>C</m:t>
                  </m:r>
                </m:sub>
              </m:sSub>
            </m:oMath>
            <w:r>
              <w:rPr>
                <w:lang w:val="en-US"/>
              </w:rPr>
              <w:t xml:space="preserve">,</w:t>
            </w:r>
            <w:r>
              <w:rPr>
                <w:lang w:val="en-US"/>
              </w:rPr>
              <w:t xml:space="preserve"> </w:t>
            </w:r>
            <m:oMath>
              <m:sSub>
                <m:e>
                  <m:r>
                    <m:t>X</m:t>
                  </m:r>
                </m:e>
                <m:sub>
                  <m:r>
                    <m:t>P</m:t>
                  </m:r>
                </m:sub>
              </m:sSub>
            </m:oMath>
            <w:r>
              <w:rPr>
                <w:lang w:val="en-US"/>
              </w:rPr>
              <w:t xml:space="preserve">, bid/ask, common inputs, predeclared</w:t>
            </w:r>
            <w:r>
              <w:rPr>
                <w:lang w:val="en-US"/>
              </w:rPr>
              <w:t xml:space="preserve"> </w:t>
            </w:r>
            <m:oMath>
              <m:sSub>
                <m:e>
                  <m:r>
                    <m:t>τ</m:t>
                  </m:r>
                </m:e>
                <m:sub>
                  <m:r>
                    <m:t>I</m:t>
                  </m:r>
                  <m:r>
                    <m:t>V</m:t>
                  </m:r>
                </m:sub>
              </m:sSub>
            </m:oMath>
            <w:r>
              <w:rPr>
                <w:lang w:val="en-US"/>
              </w:rPr>
              <w:t xml:space="preserve"> </w:t>
            </w:r>
            <w:r>
              <w:rPr>
                <w:lang w:val="en-US"/>
              </w:rPr>
              <w:t xml:space="preserve">in pp</w:t>
            </w:r>
          </w:p>
        </w:tc>
        <w:tc>
          <w:tcPr/>
          <w:p>
            <w:pPr>
              <w:pStyle w:val="Compact"/>
              <w:jc w:val="left"/>
            </w:pPr>
            <w:r>
              <w:rPr>
                <w:lang w:val="en-US"/>
              </w:rPr>
              <w:t xml:space="preserve">Compare</w:t>
            </w:r>
            <w:r>
              <w:rPr>
                <w:lang w:val="en-US"/>
              </w:rPr>
              <w:t xml:space="preserve"> </w:t>
            </w:r>
            <m:oMath>
              <m:r>
                <m:rPr>
                  <m:sty m:val="p"/>
                </m:rPr>
                <m:t>min</m:t>
              </m:r>
              <m:r>
                <m:rPr>
                  <m:sty m:val="p"/>
                </m:rPr>
                <m:t>(</m:t>
              </m:r>
              <m:sSub>
                <m:e>
                  <m:r>
                    <m:t>X</m:t>
                  </m:r>
                </m:e>
                <m:sub>
                  <m:r>
                    <m:t>C</m:t>
                  </m:r>
                </m:sub>
              </m:sSub>
              <m:r>
                <m:rPr>
                  <m:sty m:val="p"/>
                </m:rPr>
                <m:t>,</m:t>
              </m:r>
              <m:sSub>
                <m:e>
                  <m:r>
                    <m:t>X</m:t>
                  </m:r>
                </m:e>
                <m:sub>
                  <m:r>
                    <m:t>P</m:t>
                  </m:r>
                </m:sub>
              </m:sSub>
              <m:r>
                <m:rPr>
                  <m:sty m:val="p"/>
                </m:rPr>
                <m:t>)</m:t>
              </m:r>
            </m:oMath>
            <w:r>
              <w:rPr>
                <w:lang w:val="en-US"/>
              </w:rPr>
              <w:t xml:space="preserve"> </w:t>
            </w:r>
            <w:r>
              <w:rPr>
                <w:lang w:val="en-US"/>
              </w:rPr>
              <w:t xml:space="preserve">with the applicable tick; test all leg-specific finite-shock roots; report worst-direction displacement</w:t>
            </w:r>
          </w:p>
        </w:tc>
        <w:tc>
          <w:tcPr/>
          <w:p>
            <w:pPr>
              <w:pStyle w:val="Compact"/>
              <w:jc w:val="left"/>
            </w:pPr>
            <w:r>
              <w:rPr>
                <w:lang w:val="en-US"/>
              </w:rPr>
              <w:t xml:space="preserve">Identified / identified within</w:t>
            </w:r>
            <w:r>
              <w:rPr>
                <w:lang w:val="en-US"/>
              </w:rPr>
              <w:t xml:space="preserve"> </w:t>
            </w:r>
            <m:oMath>
              <m:sSub>
                <m:e>
                  <m:r>
                    <m:t>τ</m:t>
                  </m:r>
                </m:e>
                <m:sub>
                  <m:r>
                    <m:t>I</m:t>
                  </m:r>
                  <m:r>
                    <m:t>V</m:t>
                  </m:r>
                </m:sub>
              </m:sSub>
            </m:oMath>
            <w:r>
              <w:rPr>
                <w:lang w:val="en-US"/>
              </w:rPr>
              <w:t xml:space="preserve"> </w:t>
            </w:r>
            <w:r>
              <w:rPr>
                <w:lang w:val="en-US"/>
              </w:rPr>
              <w:t xml:space="preserve">/ identified outside</w:t>
            </w:r>
            <w:r>
              <w:rPr>
                <w:lang w:val="en-US"/>
              </w:rPr>
              <w:t xml:space="preserve"> </w:t>
            </w:r>
            <m:oMath>
              <m:sSub>
                <m:e>
                  <m:r>
                    <m:t>τ</m:t>
                  </m:r>
                </m:e>
                <m:sub>
                  <m:r>
                    <m:t>I</m:t>
                  </m:r>
                  <m:r>
                    <m:t>V</m:t>
                  </m:r>
                </m:sub>
              </m:sSub>
            </m:oMath>
            <w:r>
              <w:rPr>
                <w:lang w:val="en-US"/>
              </w:rPr>
              <w:t xml:space="preserve"> </w:t>
            </w:r>
            <w:r>
              <w:rPr>
                <w:lang w:val="en-US"/>
              </w:rPr>
              <w:t xml:space="preserve">/ unresolved / local-only</w:t>
            </w:r>
          </w:p>
        </w:tc>
        <w:tc>
          <w:tcPr/>
          <w:p>
            <w:pPr>
              <w:pStyle w:val="Compact"/>
              <w:jc w:val="left"/>
            </w:pPr>
            <w:r>
              <w:rPr>
                <w:lang w:val="en-US"/>
              </w:rPr>
              <w:t xml:space="preserve">Identification is not precision; only an identified case can pass</w:t>
            </w:r>
            <w:r>
              <w:rPr>
                <w:lang w:val="en-US"/>
              </w:rPr>
              <w:t xml:space="preserve"> </w:t>
            </w:r>
            <m:oMath>
              <m:sSub>
                <m:e>
                  <m:r>
                    <m:t>τ</m:t>
                  </m:r>
                </m:e>
                <m:sub>
                  <m:r>
                    <m:t>I</m:t>
                  </m:r>
                  <m:r>
                    <m:t>V</m:t>
                  </m:r>
                </m:sub>
              </m:sSub>
            </m:oMath>
            <w:r>
              <w:rPr>
                <w:lang w:val="en-US"/>
              </w:rPr>
              <w:t xml:space="preserve">; the baseline absolute-vega guard or local derivative alone is insufficient</w:t>
            </w:r>
          </w:p>
        </w:tc>
      </w:tr>
      <w:tr>
        <w:tc>
          <w:tcPr/>
          <w:p>
            <w:pPr>
              <w:pStyle w:val="Compact"/>
              <w:jc w:val="left"/>
            </w:pPr>
            <w:r>
              <w:rPr>
                <w:lang w:val="en-US"/>
              </w:rPr>
              <w:t xml:space="preserve">CPIV measurement</w:t>
            </w:r>
          </w:p>
        </w:tc>
        <w:tc>
          <w:tcPr/>
          <w:p>
            <w:pPr>
              <w:pStyle w:val="Compact"/>
              <w:jc w:val="left"/>
            </w:pPr>
            <w:r>
              <w:rPr>
                <w:lang w:val="en-US"/>
              </w:rPr>
              <w:t xml:space="preserve">Paired IVs, units, common inputs, optional quote sides</w:t>
            </w:r>
          </w:p>
        </w:tc>
        <w:tc>
          <w:tcPr/>
          <w:p>
            <w:pPr>
              <w:pStyle w:val="Compact"/>
              <w:jc w:val="left"/>
            </w:pPr>
            <w:r>
              <w:rPr>
                <w:lang w:val="en-US"/>
              </w:rPr>
              <w:t xml:space="preserve">Compute pp spread and quote-implied range; report leg and average vegas</w:t>
            </w:r>
          </w:p>
        </w:tc>
        <w:tc>
          <w:tcPr/>
          <w:p>
            <w:pPr>
              <w:pStyle w:val="Compact"/>
              <w:jc w:val="left"/>
            </w:pPr>
            <w:r>
              <w:rPr>
                <w:lang w:val="en-US"/>
              </w:rPr>
              <w:t xml:space="preserve">Point estimate and, when defined, endpoint range</w:t>
            </w:r>
          </w:p>
        </w:tc>
        <w:tc>
          <w:tcPr/>
          <w:p>
            <w:pPr>
              <w:pStyle w:val="Compact"/>
              <w:jc w:val="left"/>
            </w:pPr>
            <w:r>
              <w:rPr>
                <w:lang w:val="en-US"/>
              </w:rPr>
              <w:t xml:space="preserve">Report contract/multiplier convention and all four-endpoint denominator</w:t>
            </w:r>
          </w:p>
        </w:tc>
      </w:tr>
      <w:tr>
        <w:tc>
          <w:tcPr/>
          <w:p>
            <w:pPr>
              <w:pStyle w:val="Compact"/>
              <w:jc w:val="left"/>
            </w:pPr>
            <w:r>
              <w:rPr>
                <w:lang w:val="en-US"/>
              </w:rPr>
              <w:t xml:space="preserve">Rank diagnostics</w:t>
            </w:r>
          </w:p>
        </w:tc>
        <w:tc>
          <w:tcPr/>
          <w:p>
            <w:pPr>
              <w:pStyle w:val="Compact"/>
              <w:jc w:val="left"/>
            </w:pPr>
            <w:r>
              <w:rPr>
                <w:lang w:val="en-US"/>
              </w:rPr>
              <w:t xml:space="preserve">Cross-sectional CPIV values or intervals, declared universe</w:t>
            </w:r>
          </w:p>
        </w:tc>
        <w:tc>
          <w:tcPr/>
          <w:p>
            <w:pPr>
              <w:pStyle w:val="Compact"/>
              <w:jc w:val="left"/>
            </w:pPr>
            <w:r>
              <w:rPr>
                <w:lang w:val="en-US"/>
              </w:rPr>
              <w:t xml:space="preserve">Pairwise non-overlap, sign resolution, inversions, membership, denominators; retain one-sided bounds</w:t>
            </w:r>
          </w:p>
        </w:tc>
        <w:tc>
          <w:tcPr/>
          <w:p>
            <w:pPr>
              <w:pStyle w:val="Compact"/>
              <w:jc w:val="left"/>
            </w:pPr>
            <w:r>
              <w:rPr>
                <w:lang w:val="en-US"/>
              </w:rPr>
              <w:t xml:space="preserve">Resolved comparisons / unresolved partial order, including incomplete endpoint cases</w:t>
            </w:r>
          </w:p>
        </w:tc>
        <w:tc>
          <w:tcPr/>
          <w:p>
            <w:pPr>
              <w:pStyle w:val="Compact"/>
              <w:jc w:val="left"/>
            </w:pPr>
            <w:r>
              <w:rPr>
                <w:lang w:val="en-US"/>
              </w:rPr>
              <w:t xml:space="preserve">Keep pairs with bid = 0 or another non-invertible endpoint; use one-sided bounds only where they establish order, otherwise count unresolved rather than dropping or imputing</w:t>
            </w:r>
          </w:p>
        </w:tc>
      </w:tr>
    </w:tbl>
    <w:bookmarkEnd w:id="53"/>
    <w:bookmarkStart w:id="54" w:name="reproducibility-and-declarations"/>
    <w:p>
      <w:pPr>
        <w:pStyle w:val="Heading2"/>
      </w:pPr>
      <w:r>
        <w:rPr>
          <w:lang w:val="en-US"/>
        </w:rPr>
        <w:t xml:space="preserve">9. Reproducibility and declarations</w:t>
      </w:r>
    </w:p>
    <w:p>
      <w:pPr>
        <w:pStyle w:val="FirstParagraph"/>
      </w:pPr>
      <w:r>
        <w:rPr>
          <w:lang w:val="en-US"/>
        </w:rPr>
        <w:t xml:space="preserve">The common-map identity checker covers unequal-volatility European prices, an American-tree-origin put, stale source-spot quotes inverted at a different common spot, and admissible premium perturbations. Its maximum residual-versus-integrated-vega gap is below</w:t>
      </w:r>
      <w:r>
        <w:rPr>
          <w:lang w:val="en-US"/>
        </w:rPr>
        <w:t xml:space="preserve"> </w:t>
      </w:r>
      <m:oMath>
        <m:r>
          <m:t>1.2</m:t>
        </m:r>
        <m:r>
          <m:rPr>
            <m:sty m:val="p"/>
          </m:rPr>
          <m:t>×</m:t>
        </m:r>
        <m:sSup>
          <m:e>
            <m:r>
              <m:t>10</m:t>
            </m:r>
          </m:e>
          <m:sup>
            <m:r>
              <m:rPr>
                <m:sty m:val="p"/>
              </m:rPr>
              <m:t>−</m:t>
            </m:r>
            <m:r>
              <m:t>14</m:t>
            </m:r>
          </m:sup>
        </m:sSup>
      </m:oMath>
      <w:r>
        <w:rPr>
          <w:lang w:val="en-US"/>
        </w:rPr>
        <w:t xml:space="preserve"> </w:t>
      </w:r>
      <w:r>
        <w:rPr>
          <w:lang w:val="en-US"/>
        </w:rPr>
        <w:t xml:space="preserve">currency units across these four constructed cases. A separate 180-digit standard-library Decimal implementation audits the generated near-bound cases. Both are numerical consistency checks maintained by the same author, not an independent replication, proof, or formal peer review. A user-supplied auxiliary checker authored with AI assistance from the written specification was run against the fixed grid and matched the project pipeline to the reported precision; this is an implementation cross-check, not independent human replication. This note reports selected assumptions and outputs but does not contain the analysis source or complete machine-readable input bundle.</w:t>
      </w:r>
    </w:p>
    <w:p>
      <w:pPr>
        <w:pStyle w:val="BodyText"/>
      </w:pPr>
      <w:r>
        <w:rPr>
          <w:lang w:val="en-US"/>
        </w:rPr>
        <w:t xml:space="preserve">The supplemental checker matched the project pipeline to the reported precision for the 624/96 pass/fail counts in the 720-cell grid; the centered error median/p95/maximum (0.00007858/0.087203/1.23552 pp); the cubic-scaling slope (median 3.0003, range 2.8733–3.0441,</w:t>
      </w:r>
      <w:r>
        <w:rPr>
          <w:lang w:val="en-US"/>
        </w:rPr>
        <w:t xml:space="preserve"> </w:t>
      </w:r>
      <m:oMath>
        <m:r>
          <m:t>n</m:t>
        </m:r>
        <m:r>
          <m:rPr>
            <m:sty m:val="p"/>
          </m:rPr>
          <m:t>=</m:t>
        </m:r>
        <m:r>
          <m:t>104</m:t>
        </m:r>
      </m:oMath>
      <w:r>
        <w:rPr>
          <w:lang w:val="en-US"/>
        </w:rPr>
        <w:t xml:space="preserve">); and every signed reference-offset summary in Table 1, including 168 skipped evaluations at the 10-volatility-point offset. Both implementations used the same written grid specification, so specification errors may be shared. These matches support implementation reproducibility conditional on that specification, not independent replication or external validation.</w:t>
      </w:r>
    </w:p>
    <w:p>
      <w:pPr>
        <w:pStyle w:val="BodyText"/>
      </w:pPr>
      <w:r>
        <w:rPr>
          <w:b/>
          <w:bCs/>
          <w:lang w:val="en-US"/>
        </w:rPr>
        <w:t xml:space="preserve">Funding and in-kind support:</w:t>
      </w:r>
      <w:r>
        <w:rPr>
          <w:lang w:val="en-US"/>
        </w:rPr>
        <w:t xml:space="preserve"> </w:t>
      </w:r>
      <w:r>
        <w:rPr>
          <w:lang w:val="en-US"/>
        </w:rPr>
        <w:t xml:space="preserve">No external cash funding was received. The author received a complimentary one-month HyperTracker Surge subscription from CoinMarketMan as in-kind support. The provider supplied no data or analytical input for this note: no HyperTracker data are used, and all reported results are synthetic.</w:t>
      </w:r>
      <w:r>
        <w:br/>
      </w:r>
      <w:r>
        <w:rPr>
          <w:b/>
          <w:bCs/>
          <w:lang w:val="en-US"/>
        </w:rPr>
        <w:t xml:space="preserve">Competing interests:</w:t>
      </w:r>
      <w:r>
        <w:rPr>
          <w:lang w:val="en-US"/>
        </w:rPr>
        <w:t xml:space="preserve"> </w:t>
      </w:r>
      <w:r>
        <w:rPr>
          <w:lang w:val="en-US"/>
        </w:rPr>
        <w:t xml:space="preserve">The author declares no competing interests.</w:t>
      </w:r>
      <w:r>
        <w:br/>
      </w:r>
      <w:r>
        <w:rPr>
          <w:b/>
          <w:bCs/>
          <w:lang w:val="en-US"/>
        </w:rPr>
        <w:t xml:space="preserve">Data and code availability:</w:t>
      </w:r>
      <w:r>
        <w:rPr>
          <w:lang w:val="en-US"/>
        </w:rPr>
        <w:t xml:space="preserve"> </w:t>
      </w:r>
      <w:r>
        <w:rPr>
          <w:lang w:val="en-US"/>
        </w:rPr>
        <w:t xml:space="preserve">No market data or external quote dataset are used. The results are synthetic. The analysis code and full generated inputs are not publicly archived with this note, no DOI has been assigned, and this manuscript alone does not contain all files required to rerun the analyses.</w:t>
      </w:r>
      <w:r>
        <w:br/>
      </w:r>
      <w:r>
        <w:rPr>
          <w:b/>
          <w:bCs/>
          <w:lang w:val="en-US"/>
        </w:rPr>
        <w:t xml:space="preserve">Acknowledgements:</w:t>
      </w:r>
      <w:r>
        <w:rPr>
          <w:lang w:val="en-US"/>
        </w:rPr>
        <w:t xml:space="preserve"> </w:t>
      </w:r>
      <w:r>
        <w:rPr>
          <w:lang w:val="en-US"/>
        </w:rPr>
        <w:t xml:space="preserve">None declared.</w:t>
      </w:r>
    </w:p>
    <w:bookmarkEnd w:id="54"/>
    <w:bookmarkStart w:id="55" w:name="Xb1c5581281549b1519fb6105bca20f45966b2ae"/>
    <w:p>
      <w:pPr>
        <w:pStyle w:val="Heading2"/>
      </w:pPr>
      <w:r>
        <w:rPr>
          <w:lang w:val="en-US"/>
        </w:rPr>
        <w:t xml:space="preserve">Appendix A. Supplemental fixed-seed illustration</w:t>
      </w:r>
    </w:p>
    <w:p>
      <w:pPr>
        <w:pStyle w:val="FirstParagraph"/>
      </w:pPr>
      <w:r>
        <w:rPr>
          <w:lang w:val="en-US"/>
        </w:rPr>
        <w:t xml:space="preserve">This supplemental fixed-seed, precomputed ten-name illustration is a presentation aid, not a result of the analyses in this note. Its slider selects among seven discrete, unequally spaced noise levels; it does not reprice options, invert implied volatility, or run Monte Carlo in the browser. At each level, the stored Monte Carlo summary is separate from one example draw, and plotted values share a fixed symmetric axis. The browser version is interactive; print formats show a static rendering.</w:t>
      </w:r>
    </w:p>
    <w:bookmarkEnd w:id="55"/>
    <w:bookmarkStart w:id="56" w:name="appendix-b.-reproduction-commands"/>
    <w:p>
      <w:pPr>
        <w:pStyle w:val="Heading2"/>
      </w:pPr>
      <w:r>
        <w:rPr>
          <w:lang w:val="en-US"/>
        </w:rPr>
        <w:t xml:space="preserve">Appendix B. Reproduction commands</w:t>
      </w:r>
    </w:p>
    <w:p>
      <w:pPr>
        <w:pStyle w:val="FirstParagraph"/>
      </w:pPr>
      <w:r>
        <w:rPr>
          <w:lang w:val="en-US"/>
        </w:rPr>
        <w:t xml:space="preserve">Requirements:</w:t>
      </w:r>
      <w:r>
        <w:rPr>
          <w:lang w:val="en-US"/>
        </w:rPr>
        <w:t xml:space="preserve"> </w:t>
      </w:r>
      <w:r>
        <w:rPr>
          <w:rStyle w:val="VerbatimChar"/>
          <w:lang w:val="en-US"/>
        </w:rPr>
        <w:t xml:space="preserve">uv</w:t>
      </w:r>
      <w:r>
        <w:rPr>
          <w:lang w:val="en-US"/>
        </w:rPr>
        <w:t xml:space="preserve"> </w:t>
      </w:r>
      <w:r>
        <w:rPr>
          <w:lang w:val="en-US"/>
        </w:rPr>
        <w:t xml:space="preserve">0.11.8 and Python 3.12 or newer, as declared in</w:t>
      </w:r>
      <w:r>
        <w:rPr>
          <w:lang w:val="en-US"/>
        </w:rPr>
        <w:t xml:space="preserve"> </w:t>
      </w:r>
      <w:r>
        <w:rPr>
          <w:rStyle w:val="VerbatimChar"/>
          <w:lang w:val="en-US"/>
        </w:rPr>
        <w:t xml:space="preserve">pyproject.toml</w:t>
      </w:r>
      <w:r>
        <w:rPr>
          <w:lang w:val="en-US"/>
        </w:rPr>
        <w:t xml:space="preserve">. On 18 October 2026 the three documented</w:t>
      </w:r>
      <w:r>
        <w:rPr>
          <w:lang w:val="en-US"/>
        </w:rPr>
        <w:t xml:space="preserve"> </w:t>
      </w:r>
      <w:r>
        <w:rPr>
          <w:rStyle w:val="VerbatimChar"/>
          <w:lang w:val="en-US"/>
        </w:rPr>
        <w:t xml:space="preserve">uv</w:t>
      </w:r>
      <w:r>
        <w:rPr>
          <w:lang w:val="en-US"/>
        </w:rPr>
        <w:t xml:space="preserve"> </w:t>
      </w:r>
      <w:r>
        <w:rPr>
          <w:lang w:val="en-US"/>
        </w:rPr>
        <w:t xml:space="preserve">commands below were executed verbatim in PowerShell on Windows, in two clean copies of the sources from which generated outputs,</w:t>
      </w:r>
      <w:r>
        <w:rPr>
          <w:lang w:val="en-US"/>
        </w:rPr>
        <w:t xml:space="preserve"> </w:t>
      </w:r>
      <w:r>
        <w:rPr>
          <w:rStyle w:val="VerbatimChar"/>
          <w:lang w:val="en-US"/>
        </w:rPr>
        <w:t xml:space="preserve">dist/</w:t>
      </w:r>
      <w:r>
        <w:rPr>
          <w:lang w:val="en-US"/>
        </w:rPr>
        <w:t xml:space="preserve">,</w:t>
      </w:r>
      <w:r>
        <w:rPr>
          <w:lang w:val="en-US"/>
        </w:rPr>
        <w:t xml:space="preserve"> </w:t>
      </w:r>
      <w:r>
        <w:rPr>
          <w:rStyle w:val="VerbatimChar"/>
          <w:lang w:val="en-US"/>
        </w:rPr>
        <w:t xml:space="preserve">site/</w:t>
      </w:r>
      <w:r>
        <w:rPr>
          <w:lang w:val="en-US"/>
        </w:rPr>
        <w:t xml:space="preserve">, and virtual environments had been removed. Each copy used the locked environment with Python 3.14.3. The reproduction command was run once in each copy and exited with status 0 both times. The two runs produced identical CSV and PNG files and identical manifests. The SVG files differed only in an embedded timestamp and generated element identifiers, and two JSON files differed only in the recorded output path. The test command, run once in the first copy, reported 316 passed, 10 skipped and 7 failed. All seven failures are in tests of other deliverables (the combined manuscript and the submission bundle) that read build outputs excluded from the copy; no CPIV test failed. The full suite passed in the source checkout, where built outputs are present, under Python 3.14.3. Three further clean copies were then run with the same commands, except that the environment’s Python was invoked directly in place of</w:t>
      </w:r>
      <w:r>
        <w:rPr>
          <w:lang w:val="en-US"/>
        </w:rPr>
        <w:t xml:space="preserve"> </w:t>
      </w:r>
      <w:r>
        <w:rPr>
          <w:rStyle w:val="VerbatimChar"/>
          <w:lang w:val="en-US"/>
        </w:rPr>
        <w:t xml:space="preserve">uv run</w:t>
      </w:r>
      <w:r>
        <w:rPr>
          <w:lang w:val="en-US"/>
        </w:rPr>
        <w:t xml:space="preserve">. On Windows, Python 3.12 and Python 3.13 each completed the reproduction with exit status 0 and reported 313 passed, 10 skipped and 10 failed; all ten failures are in non-CPIV modules that read files absent from the copy, and the CPIV modules passed. In WSL Ubuntu under Bash, Python 3.12.3 completed the reproduction with exit status 0, and the CPIV test modules reported 105 passed and 10 skipped, the skips being browser tests that need a built HTML file. Between the Windows Python 3.14.3 output and the WSL Python 3.12.3 output, CSV text fields match exactly and numeric fields differ by at most 3.34e-10. The JSON files differ only in recorded paths, the Python version, and the recorded hash of the local approximation grid, whose numeric residuals differ in the last digits. PNG files and SVG files, apart from the timestamp, are not byte-identical across these platforms, so byte identity across platforms is not claimed. A Linux/Windows CI matrix for Python 3.12–3.14 is configured in the source checkout but has not been executed, so it is not evidence of cross-platform success. Repeating the run on one machine with the same code establishes determinism, not independent correctness. The shell-neutral commands below are intended for both PowerShell and Bash. The source code is not embedded in this note; no public repository, reuse license, or DOI-backed archive is assigned. Public release remains a separate author decision.</w:t>
      </w:r>
    </w:p>
    <w:p>
      <w:pPr>
        <w:pStyle w:val="BodyText"/>
      </w:pPr>
      <w:r>
        <w:rPr>
          <w:lang w:val="en-US"/>
        </w:rPr>
        <w:t xml:space="preserve">Run from a source checkout of the project root. The commands regenerate the synthetic design and diagnostics in the stated output directory. Use a fresh output directory for a subsequent run; the source package and code archive are not part of this standalone manuscript.</w:t>
      </w:r>
    </w:p>
    <w:p>
      <w:pPr>
        <w:pStyle w:val="SourceCode"/>
      </w:pPr>
      <w:r>
        <w:rPr>
          <w:rStyle w:val="VerbatimChar"/>
          <w:lang w:val="en-US"/>
        </w:rPr>
        <w:t xml:space="preserve">uv sync --locked --no-install-project</w:t>
      </w:r>
      <w:r>
        <w:br/>
      </w:r>
      <w:r>
        <w:rPr>
          <w:rStyle w:val="VerbatimChar"/>
          <w:lang w:val="en-US"/>
        </w:rPr>
        <w:t xml:space="preserve">uv run python -m scripts.reproduce_cpiv_methods --output research/cpiv/generated/repro</w:t>
      </w:r>
      <w:r>
        <w:br/>
      </w:r>
      <w:r>
        <w:rPr>
          <w:rStyle w:val="VerbatimChar"/>
          <w:lang w:val="en-US"/>
        </w:rPr>
        <w:t xml:space="preserve">uv run python -m pytest tests -q</w:t>
      </w:r>
    </w:p>
    <w:bookmarkEnd w:id="56"/>
    <w:bookmarkStart w:id="57" w:name="X0c8532e803be232eb955fa356168f0553d9bfa7"/>
    <w:p>
      <w:pPr>
        <w:pStyle w:val="Heading2"/>
      </w:pPr>
      <w:r>
        <w:rPr>
          <w:lang w:val="en-US"/>
        </w:rPr>
        <w:t xml:space="preserve">Appendix C. Supplementary benchmark and cross-check tables</w:t>
      </w:r>
    </w:p>
    <w:p>
      <w:pPr>
        <w:pStyle w:val="FirstParagraph"/>
      </w:pPr>
      <w:r>
        <w:rPr>
          <w:lang w:val="en-US"/>
        </w:rPr>
        <w:t xml:space="preserve">The tables below are author-run synthetic checks. They are not independent replication, and the closed-form benchmark covers only Gaussian CPIV-space noise.</w:t>
      </w:r>
    </w:p>
    <w:p>
      <w:pPr>
        <w:pStyle w:val="BodyText"/>
      </w:pPr>
      <w:r>
        <w:rPr>
          <w:b/>
          <w:bCs/>
          <w:lang w:val="en-US"/>
        </w:rPr>
        <w:t xml:space="preserve">Table C1.</w:t>
      </w:r>
      <w:r>
        <w:rPr>
          <w:lang w:val="en-US"/>
        </w:rPr>
        <w:t xml:space="preserve"> </w:t>
      </w:r>
      <w:r>
        <w:rPr>
          <w:lang w:val="en-US"/>
        </w:rPr>
        <w:t xml:space="preserve">Holm–Bonferroni family for the ranking-stress checks (one family of 1,050 tests, alpha 0.05). Closed-form comparisons use the Gaussian benchmark in Section 7.5. Fresh-versus-stored comparisons use three seeds not used for Table 3 (31415926, 27182818, 16180339), with 1,000 replicates per seed, against the stored 300-replicate run (three seeds of 100 replicates). The same seeds and 1,000 replicates per seed were used in an earlier draft of this benchmark, which reported standardised differences of −2.73 and −2.20 and a fresh concave-magnitude n=10 inversion value of 0.1640. This version gives 0.1647 for that cell and does not reproduce the earlier standardised differences. The current diagnostics code gives 0.1647 for that cell in the committed run, which uses the full noise-family list. The earlier value 0.1640 is reproduced exactly, cell for cell, when the Gaussian family is given seed offset 0 instead of 1, which is what the one-off driver produced by filtering the family list. The difference is therefore a choice of random stream within the same design (0.0007, about 0.6 Monte Carlo standard errors), not a code or data error. The earlier standardised differences of −2.73 and −2.20 come from the offset-0 stream and do not hold on the stream used here. The one-off driver is not part of the repository. Per-test rows are in the companion CSV.</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lang w:val="en-US"/>
              </w:rPr>
              <w:t xml:space="preserve">Comparison</w:t>
            </w:r>
          </w:p>
        </w:tc>
        <w:tc>
          <w:tcPr/>
          <w:p>
            <w:pPr>
              <w:pStyle w:val="Compact"/>
              <w:jc w:val="right"/>
            </w:pPr>
            <w:r>
              <w:rPr>
                <w:lang w:val="en-US"/>
              </w:rPr>
              <w:t xml:space="preserve">Tests</w:t>
            </w:r>
          </w:p>
        </w:tc>
        <w:tc>
          <w:tcPr/>
          <w:p>
            <w:pPr>
              <w:pStyle w:val="Compact"/>
              <w:jc w:val="left"/>
            </w:pPr>
            <w:r>
              <w:rPr>
                <w:lang w:val="en-US"/>
              </w:rPr>
              <w:t xml:space="preserve">Metrics</w:t>
            </w:r>
          </w:p>
        </w:tc>
        <w:tc>
          <w:tcPr/>
          <w:p>
            <w:pPr>
              <w:pStyle w:val="Compact"/>
              <w:jc w:val="right"/>
            </w:pPr>
            <w:r>
              <w:rPr>
                <w:lang w:val="en-US"/>
              </w:rPr>
              <w:t xml:space="preserve">Max abs. z</w:t>
            </w:r>
          </w:p>
        </w:tc>
        <w:tc>
          <w:tcPr/>
          <w:p>
            <w:pPr>
              <w:pStyle w:val="Compact"/>
              <w:jc w:val="right"/>
            </w:pPr>
            <w:r>
              <w:rPr>
                <w:lang w:val="en-US"/>
              </w:rPr>
              <w:t xml:space="preserve">Min Holm-adjusted p</w:t>
            </w:r>
          </w:p>
        </w:tc>
        <w:tc>
          <w:tcPr/>
          <w:p>
            <w:pPr>
              <w:pStyle w:val="Compact"/>
              <w:jc w:val="right"/>
            </w:pPr>
            <w:r>
              <w:rPr>
                <w:lang w:val="en-US"/>
              </w:rPr>
              <w:t xml:space="preserve">Rejected</w:t>
            </w:r>
          </w:p>
        </w:tc>
      </w:tr>
      <w:tr>
        <w:tc>
          <w:tcPr/>
          <w:p>
            <w:pPr>
              <w:pStyle w:val="Compact"/>
              <w:jc w:val="left"/>
            </w:pPr>
            <w:r>
              <w:rPr>
                <w:lang w:val="en-US"/>
              </w:rPr>
              <w:t xml:space="preserve">Closed form vs Monte Carlo (Gaussian noise)</w:t>
            </w:r>
          </w:p>
        </w:tc>
        <w:tc>
          <w:tcPr/>
          <w:p>
            <w:pPr>
              <w:pStyle w:val="Compact"/>
              <w:jc w:val="right"/>
            </w:pPr>
            <w:r>
              <w:rPr>
                <w:lang w:val="en-US"/>
              </w:rPr>
              <w:t xml:space="preserve">90</w:t>
            </w:r>
          </w:p>
        </w:tc>
        <w:tc>
          <w:tcPr/>
          <w:p>
            <w:pPr>
              <w:pStyle w:val="Compact"/>
              <w:jc w:val="left"/>
            </w:pPr>
            <w:r>
              <w:rPr>
                <w:lang w:val="en-US"/>
              </w:rPr>
              <w:t xml:space="preserve">inversion, sign accuracy, Spearman</w:t>
            </w:r>
          </w:p>
        </w:tc>
        <w:tc>
          <w:tcPr/>
          <w:p>
            <w:pPr>
              <w:pStyle w:val="Compact"/>
              <w:jc w:val="right"/>
            </w:pPr>
            <w:r>
              <w:rPr>
                <w:lang w:val="en-US"/>
              </w:rPr>
              <w:t xml:space="preserve">2.105</w:t>
            </w:r>
          </w:p>
        </w:tc>
        <w:tc>
          <w:tcPr/>
          <w:p>
            <w:pPr>
              <w:pStyle w:val="Compact"/>
              <w:jc w:val="right"/>
            </w:pPr>
            <w:r>
              <w:rPr>
                <w:lang w:val="en-US"/>
              </w:rPr>
              <w:t xml:space="preserve">1.000</w:t>
            </w:r>
          </w:p>
        </w:tc>
        <w:tc>
          <w:tcPr/>
          <w:p>
            <w:pPr>
              <w:pStyle w:val="Compact"/>
              <w:jc w:val="right"/>
            </w:pPr>
            <w:r>
              <w:rPr>
                <w:lang w:val="en-US"/>
              </w:rPr>
              <w:t xml:space="preserve">0</w:t>
            </w:r>
          </w:p>
        </w:tc>
      </w:tr>
      <w:tr>
        <w:tc>
          <w:tcPr/>
          <w:p>
            <w:pPr>
              <w:pStyle w:val="Compact"/>
              <w:jc w:val="left"/>
            </w:pPr>
            <w:r>
              <w:rPr>
                <w:lang w:val="en-US"/>
              </w:rPr>
              <w:t xml:space="preserve">Fresh simulation vs stored run (all families)</w:t>
            </w:r>
          </w:p>
        </w:tc>
        <w:tc>
          <w:tcPr/>
          <w:p>
            <w:pPr>
              <w:pStyle w:val="Compact"/>
              <w:jc w:val="right"/>
            </w:pPr>
            <w:r>
              <w:rPr>
                <w:lang w:val="en-US"/>
              </w:rPr>
              <w:t xml:space="preserve">960</w:t>
            </w:r>
          </w:p>
        </w:tc>
        <w:tc>
          <w:tcPr/>
          <w:p>
            <w:pPr>
              <w:pStyle w:val="Compact"/>
              <w:jc w:val="left"/>
            </w:pPr>
            <w:r>
              <w:rPr>
                <w:lang w:val="en-US"/>
              </w:rPr>
              <w:t xml:space="preserve">inversion, sign accuracy, Spearman, turnover</w:t>
            </w:r>
          </w:p>
        </w:tc>
        <w:tc>
          <w:tcPr/>
          <w:p>
            <w:pPr>
              <w:pStyle w:val="Compact"/>
              <w:jc w:val="right"/>
            </w:pPr>
            <w:r>
              <w:rPr>
                <w:lang w:val="en-US"/>
              </w:rPr>
              <w:t xml:space="preserve">3.47</w:t>
            </w:r>
          </w:p>
        </w:tc>
        <w:tc>
          <w:tcPr/>
          <w:p>
            <w:pPr>
              <w:pStyle w:val="Compact"/>
              <w:jc w:val="right"/>
            </w:pPr>
            <w:r>
              <w:rPr>
                <w:lang w:val="en-US"/>
              </w:rPr>
              <w:t xml:space="preserve">0.546</w:t>
            </w:r>
          </w:p>
        </w:tc>
        <w:tc>
          <w:tcPr/>
          <w:p>
            <w:pPr>
              <w:pStyle w:val="Compact"/>
              <w:jc w:val="right"/>
            </w:pPr>
            <w:r>
              <w:rPr>
                <w:lang w:val="en-US"/>
              </w:rPr>
              <w:t xml:space="preserve">0</w:t>
            </w:r>
          </w:p>
        </w:tc>
      </w:tr>
      <w:tr>
        <w:tc>
          <w:tcPr/>
          <w:p>
            <w:pPr>
              <w:pStyle w:val="Compact"/>
              <w:jc w:val="left"/>
            </w:pPr>
            <w:r>
              <w:rPr>
                <w:lang w:val="en-US"/>
              </w:rPr>
              <w:t xml:space="preserve">Total</w:t>
            </w:r>
          </w:p>
        </w:tc>
        <w:tc>
          <w:tcPr/>
          <w:p>
            <w:pPr>
              <w:pStyle w:val="Compact"/>
              <w:jc w:val="right"/>
            </w:pPr>
            <w:r>
              <w:rPr>
                <w:lang w:val="en-US"/>
              </w:rPr>
              <w:t xml:space="preserve">1,050</w:t>
            </w:r>
          </w:p>
        </w:tc>
        <w:tc>
          <w:tcPr/>
          <w:p>
            <w:pPr>
              <w:pStyle w:val="Compact"/>
            </w:pPr>
          </w:p>
        </w:tc>
        <w:tc>
          <w:tcPr/>
          <w:p>
            <w:pPr>
              <w:pStyle w:val="Compact"/>
              <w:jc w:val="right"/>
            </w:pPr>
            <w:r>
              <w:rPr>
                <w:lang w:val="en-US"/>
              </w:rPr>
              <w:t xml:space="preserve">3.47</w:t>
            </w:r>
          </w:p>
        </w:tc>
        <w:tc>
          <w:tcPr/>
          <w:p>
            <w:pPr>
              <w:pStyle w:val="Compact"/>
              <w:jc w:val="right"/>
            </w:pPr>
            <w:r>
              <w:rPr>
                <w:lang w:val="en-US"/>
              </w:rPr>
              <w:t xml:space="preserve">0.546</w:t>
            </w:r>
          </w:p>
        </w:tc>
        <w:tc>
          <w:tcPr/>
          <w:p>
            <w:pPr>
              <w:pStyle w:val="Compact"/>
              <w:jc w:val="right"/>
            </w:pPr>
            <w:r>
              <w:rPr>
                <w:lang w:val="en-US"/>
              </w:rPr>
              <w:t xml:space="preserve">0</w:t>
            </w:r>
          </w:p>
        </w:tc>
      </w:tr>
    </w:tbl>
    <w:p>
      <w:pPr>
        <w:pStyle w:val="BodyText"/>
      </w:pPr>
      <w:r>
        <w:rPr>
          <w:b/>
          <w:bCs/>
          <w:lang w:val="en-US"/>
        </w:rPr>
        <w:t xml:space="preserve">Table C2.</w:t>
      </w:r>
      <w:r>
        <w:rPr>
          <w:lang w:val="en-US"/>
        </w:rPr>
        <w:t xml:space="preserve"> </w:t>
      </w:r>
      <w:r>
        <w:rPr>
          <w:lang w:val="en-US"/>
        </w:rPr>
        <w:t xml:space="preserve">American-put cross-check: CPIV (pp) at the finest grid of each method, for four synthetic scenarios. Leisen–Reimer (6,401 steps) is the reference. The change column is the Leisen–Reimer difference between 3,201 and 6,401 steps. Barone–Adesi–Whaley is a quadratic approximation, not an exact American value, and is not computed at zero rate. Spread is the range across CRR, Jarrow–Rudd and Leisen–Reimer at the finest grid; Barone–Adesi–Whaley is excluded from the spread. Richardson-extrapolated values are in the companion CSV and are not used as end-points.</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lang w:val="en-US"/>
              </w:rPr>
              <w:t xml:space="preserve">Scenario</w:t>
            </w:r>
          </w:p>
        </w:tc>
        <w:tc>
          <w:tcPr/>
          <w:p>
            <w:pPr>
              <w:pStyle w:val="Compact"/>
              <w:jc w:val="right"/>
            </w:pPr>
            <w:r>
              <w:rPr>
                <w:lang w:val="en-US"/>
              </w:rPr>
              <w:t xml:space="preserve">CRR (6,400)</w:t>
            </w:r>
          </w:p>
        </w:tc>
        <w:tc>
          <w:tcPr/>
          <w:p>
            <w:pPr>
              <w:pStyle w:val="Compact"/>
              <w:jc w:val="right"/>
            </w:pPr>
            <w:r>
              <w:rPr>
                <w:lang w:val="en-US"/>
              </w:rPr>
              <w:t xml:space="preserve">Jarrow–Rudd (6,400)</w:t>
            </w:r>
          </w:p>
        </w:tc>
        <w:tc>
          <w:tcPr/>
          <w:p>
            <w:pPr>
              <w:pStyle w:val="Compact"/>
              <w:jc w:val="right"/>
            </w:pPr>
            <w:r>
              <w:rPr>
                <w:lang w:val="en-US"/>
              </w:rPr>
              <w:t xml:space="preserve">Leisen–Reimer (6,401)</w:t>
            </w:r>
          </w:p>
        </w:tc>
        <w:tc>
          <w:tcPr/>
          <w:p>
            <w:pPr>
              <w:pStyle w:val="Compact"/>
              <w:jc w:val="right"/>
            </w:pPr>
            <w:r>
              <w:rPr>
                <w:lang w:val="en-US"/>
              </w:rPr>
              <w:t xml:space="preserve">LR change, 3,201 to 6,401</w:t>
            </w:r>
          </w:p>
        </w:tc>
        <w:tc>
          <w:tcPr/>
          <w:p>
            <w:pPr>
              <w:pStyle w:val="Compact"/>
              <w:jc w:val="right"/>
            </w:pPr>
            <w:r>
              <w:rPr>
                <w:lang w:val="en-US"/>
              </w:rPr>
              <w:t xml:space="preserve">BAW (approx.) − LR</w:t>
            </w:r>
          </w:p>
        </w:tc>
        <w:tc>
          <w:tcPr/>
          <w:p>
            <w:pPr>
              <w:pStyle w:val="Compact"/>
              <w:jc w:val="right"/>
            </w:pPr>
            <w:r>
              <w:rPr>
                <w:lang w:val="en-US"/>
              </w:rPr>
              <w:t xml:space="preserve">Spread (pp)</w:t>
            </w:r>
          </w:p>
        </w:tc>
      </w:tr>
      <w:tr>
        <w:tc>
          <w:tcPr/>
          <w:p>
            <w:pPr>
              <w:pStyle w:val="Compact"/>
              <w:jc w:val="left"/>
            </w:pPr>
            <w:r>
              <w:rPr>
                <w:lang w:val="en-US"/>
              </w:rPr>
              <w:t xml:space="preserve">ATM put, K 100, 30 days, r 5%, q 0%, σ 20%</w:t>
            </w:r>
          </w:p>
        </w:tc>
        <w:tc>
          <w:tcPr/>
          <w:p>
            <w:pPr>
              <w:pStyle w:val="Compact"/>
              <w:jc w:val="right"/>
            </w:pPr>
            <w:r>
              <w:rPr>
                <w:lang w:val="en-US"/>
              </w:rPr>
              <w:t xml:space="preserve">−0.264587</w:t>
            </w:r>
          </w:p>
        </w:tc>
        <w:tc>
          <w:tcPr/>
          <w:p>
            <w:pPr>
              <w:pStyle w:val="Compact"/>
              <w:jc w:val="right"/>
            </w:pPr>
            <w:r>
              <w:rPr>
                <w:lang w:val="en-US"/>
              </w:rPr>
              <w:t xml:space="preserve">−0.265673</w:t>
            </w:r>
          </w:p>
        </w:tc>
        <w:tc>
          <w:tcPr/>
          <w:p>
            <w:pPr>
              <w:pStyle w:val="Compact"/>
              <w:jc w:val="right"/>
            </w:pPr>
            <w:r>
              <w:rPr>
                <w:lang w:val="en-US"/>
              </w:rPr>
              <w:t xml:space="preserve">−0.265150</w:t>
            </w:r>
          </w:p>
        </w:tc>
        <w:tc>
          <w:tcPr/>
          <w:p>
            <w:pPr>
              <w:pStyle w:val="Compact"/>
              <w:jc w:val="right"/>
            </w:pPr>
            <w:r>
              <w:rPr>
                <w:lang w:val="en-US"/>
              </w:rPr>
              <w:t xml:space="preserve">+0.000061</w:t>
            </w:r>
          </w:p>
        </w:tc>
        <w:tc>
          <w:tcPr/>
          <w:p>
            <w:pPr>
              <w:pStyle w:val="Compact"/>
              <w:jc w:val="right"/>
            </w:pPr>
            <w:r>
              <w:rPr>
                <w:lang w:val="en-US"/>
              </w:rPr>
              <w:t xml:space="preserve">+0.043599</w:t>
            </w:r>
          </w:p>
        </w:tc>
        <w:tc>
          <w:tcPr/>
          <w:p>
            <w:pPr>
              <w:pStyle w:val="Compact"/>
              <w:jc w:val="right"/>
            </w:pPr>
            <w:r>
              <w:rPr>
                <w:lang w:val="en-US"/>
              </w:rPr>
              <w:t xml:space="preserve">0.0011</w:t>
            </w:r>
          </w:p>
        </w:tc>
      </w:tr>
      <w:tr>
        <w:tc>
          <w:tcPr/>
          <w:p>
            <w:pPr>
              <w:pStyle w:val="Compact"/>
              <w:jc w:val="left"/>
            </w:pPr>
            <w:r>
              <w:rPr>
                <w:lang w:val="en-US"/>
              </w:rPr>
              <w:t xml:space="preserve">Deep in-the-money put, K 120, 90 days, r 10%, q 0%, σ 20%</w:t>
            </w:r>
          </w:p>
        </w:tc>
        <w:tc>
          <w:tcPr/>
          <w:p>
            <w:pPr>
              <w:pStyle w:val="Compact"/>
              <w:jc w:val="right"/>
            </w:pPr>
            <w:r>
              <w:rPr>
                <w:lang w:val="en-US"/>
              </w:rPr>
              <w:t xml:space="preserve">−22.015132</w:t>
            </w:r>
          </w:p>
        </w:tc>
        <w:tc>
          <w:tcPr/>
          <w:p>
            <w:pPr>
              <w:pStyle w:val="Compact"/>
              <w:jc w:val="right"/>
            </w:pPr>
            <w:r>
              <w:rPr>
                <w:lang w:val="en-US"/>
              </w:rPr>
              <w:t xml:space="preserve">−22.015132</w:t>
            </w:r>
          </w:p>
        </w:tc>
        <w:tc>
          <w:tcPr/>
          <w:p>
            <w:pPr>
              <w:pStyle w:val="Compact"/>
              <w:jc w:val="right"/>
            </w:pPr>
            <w:r>
              <w:rPr>
                <w:lang w:val="en-US"/>
              </w:rPr>
              <w:t xml:space="preserve">−22.015132</w:t>
            </w:r>
          </w:p>
        </w:tc>
        <w:tc>
          <w:tcPr/>
          <w:p>
            <w:pPr>
              <w:pStyle w:val="Compact"/>
              <w:jc w:val="right"/>
            </w:pPr>
            <w:r>
              <w:rPr>
                <w:lang w:val="en-US"/>
              </w:rPr>
              <w:t xml:space="preserve">0.000000</w:t>
            </w:r>
          </w:p>
        </w:tc>
        <w:tc>
          <w:tcPr/>
          <w:p>
            <w:pPr>
              <w:pStyle w:val="Compact"/>
              <w:jc w:val="right"/>
            </w:pPr>
            <w:r>
              <w:rPr>
                <w:lang w:val="en-US"/>
              </w:rPr>
              <w:t xml:space="preserve">0.000000</w:t>
            </w:r>
          </w:p>
        </w:tc>
        <w:tc>
          <w:tcPr/>
          <w:p>
            <w:pPr>
              <w:pStyle w:val="Compact"/>
              <w:jc w:val="right"/>
            </w:pPr>
            <w:r>
              <w:rPr>
                <w:lang w:val="en-US"/>
              </w:rPr>
              <w:t xml:space="preserve">0.0000</w:t>
            </w:r>
          </w:p>
        </w:tc>
      </w:tr>
      <w:tr>
        <w:tc>
          <w:tcPr/>
          <w:p>
            <w:pPr>
              <w:pStyle w:val="Compact"/>
              <w:jc w:val="left"/>
            </w:pPr>
            <w:r>
              <w:rPr>
                <w:lang w:val="en-US"/>
              </w:rPr>
              <w:t xml:space="preserve">Zero-rate control, K 100, 30 days, r 0%, q 0%, σ 20%</w:t>
            </w:r>
          </w:p>
        </w:tc>
        <w:tc>
          <w:tcPr/>
          <w:p>
            <w:pPr>
              <w:pStyle w:val="Compact"/>
              <w:jc w:val="right"/>
            </w:pPr>
            <w:r>
              <w:rPr>
                <w:lang w:val="en-US"/>
              </w:rPr>
              <w:t xml:space="preserve">0.000781</w:t>
            </w:r>
          </w:p>
        </w:tc>
        <w:tc>
          <w:tcPr/>
          <w:p>
            <w:pPr>
              <w:pStyle w:val="Compact"/>
              <w:jc w:val="right"/>
            </w:pPr>
            <w:r>
              <w:rPr>
                <w:lang w:val="en-US"/>
              </w:rPr>
              <w:t xml:space="preserve">0.000000</w:t>
            </w:r>
          </w:p>
        </w:tc>
        <w:tc>
          <w:tcPr/>
          <w:p>
            <w:pPr>
              <w:pStyle w:val="Compact"/>
              <w:jc w:val="right"/>
            </w:pPr>
            <w:r>
              <w:rPr>
                <w:lang w:val="en-US"/>
              </w:rPr>
              <w:t xml:space="preserve">0.000000</w:t>
            </w:r>
          </w:p>
        </w:tc>
        <w:tc>
          <w:tcPr/>
          <w:p>
            <w:pPr>
              <w:pStyle w:val="Compact"/>
              <w:jc w:val="right"/>
            </w:pPr>
            <w:r>
              <w:rPr>
                <w:lang w:val="en-US"/>
              </w:rPr>
              <w:t xml:space="preserve">0.000000</w:t>
            </w:r>
          </w:p>
        </w:tc>
        <w:tc>
          <w:tcPr/>
          <w:p>
            <w:pPr>
              <w:pStyle w:val="Compact"/>
              <w:jc w:val="right"/>
            </w:pPr>
            <w:r>
              <w:rPr>
                <w:lang w:val="en-US"/>
              </w:rPr>
              <w:t xml:space="preserve">not computed</w:t>
            </w:r>
          </w:p>
        </w:tc>
        <w:tc>
          <w:tcPr/>
          <w:p>
            <w:pPr>
              <w:pStyle w:val="Compact"/>
              <w:jc w:val="right"/>
            </w:pPr>
            <w:r>
              <w:rPr>
                <w:lang w:val="en-US"/>
              </w:rPr>
              <w:t xml:space="preserve">0.0008</w:t>
            </w:r>
          </w:p>
        </w:tc>
      </w:tr>
      <w:tr>
        <w:tc>
          <w:tcPr/>
          <w:p>
            <w:pPr>
              <w:pStyle w:val="Compact"/>
              <w:jc w:val="left"/>
            </w:pPr>
            <w:r>
              <w:rPr>
                <w:lang w:val="en-US"/>
              </w:rPr>
              <w:t xml:space="preserve">OTM put, K 90, 365 days, r 3%, q 2%, σ 25%</w:t>
            </w:r>
          </w:p>
        </w:tc>
        <w:tc>
          <w:tcPr/>
          <w:p>
            <w:pPr>
              <w:pStyle w:val="Compact"/>
              <w:jc w:val="right"/>
            </w:pPr>
            <w:r>
              <w:rPr>
                <w:lang w:val="en-US"/>
              </w:rPr>
              <w:t xml:space="preserve">−0.156204</w:t>
            </w:r>
          </w:p>
        </w:tc>
        <w:tc>
          <w:tcPr/>
          <w:p>
            <w:pPr>
              <w:pStyle w:val="Compact"/>
              <w:jc w:val="right"/>
            </w:pPr>
            <w:r>
              <w:rPr>
                <w:lang w:val="en-US"/>
              </w:rPr>
              <w:t xml:space="preserve">−0.157134</w:t>
            </w:r>
          </w:p>
        </w:tc>
        <w:tc>
          <w:tcPr/>
          <w:p>
            <w:pPr>
              <w:pStyle w:val="Compact"/>
              <w:jc w:val="right"/>
            </w:pPr>
            <w:r>
              <w:rPr>
                <w:lang w:val="en-US"/>
              </w:rPr>
              <w:t xml:space="preserve">−0.156229</w:t>
            </w:r>
          </w:p>
        </w:tc>
        <w:tc>
          <w:tcPr/>
          <w:p>
            <w:pPr>
              <w:pStyle w:val="Compact"/>
              <w:jc w:val="right"/>
            </w:pPr>
            <w:r>
              <w:rPr>
                <w:lang w:val="en-US"/>
              </w:rPr>
              <w:t xml:space="preserve">+0.000092</w:t>
            </w:r>
          </w:p>
        </w:tc>
        <w:tc>
          <w:tcPr/>
          <w:p>
            <w:pPr>
              <w:pStyle w:val="Compact"/>
              <w:jc w:val="right"/>
            </w:pPr>
            <w:r>
              <w:rPr>
                <w:lang w:val="en-US"/>
              </w:rPr>
              <w:t xml:space="preserve">−0.046946</w:t>
            </w:r>
          </w:p>
        </w:tc>
        <w:tc>
          <w:tcPr/>
          <w:p>
            <w:pPr>
              <w:pStyle w:val="Compact"/>
              <w:jc w:val="right"/>
            </w:pPr>
            <w:r>
              <w:rPr>
                <w:lang w:val="en-US"/>
              </w:rPr>
              <w:t xml:space="preserve">0.0009</w:t>
            </w:r>
          </w:p>
        </w:tc>
      </w:tr>
    </w:tbl>
    <w:p>
      <w:pPr>
        <w:pStyle w:val="BodyText"/>
      </w:pPr>
      <w:r>
        <w:rPr>
          <w:lang w:val="en-US"/>
        </w:rPr>
        <w:t xml:space="preserve">In the deep in-the-money row, all methods return the intrinsic value of 20.000000 USD. The inverted CPIV of −22.015 pp is therefore a boundary outcome of the implied-volatility inverter, and the zero spread reflects identical prices, not validated volatility.</w:t>
      </w:r>
    </w:p>
    <w:p>
      <w:pPr>
        <w:pStyle w:val="BodyText"/>
      </w:pPr>
      <w:r>
        <w:rPr>
          <w:lang w:val="en-US"/>
        </w:rPr>
        <w:t xml:space="preserve">Richardson extrapolation of the CRR and Jarrow–Rudd trees is not used as an end-point, because its value depends on the grid pair. For the 365-day OTM put, the CRR estimate ranges over 0.017 pp across the 800/1,600 and 3,200/6,400 pairs. For the zero-rate control, the Jarrow–Rudd estimate changes sign between the first two pairs. In the ATM case the CRR pairs agree to 0.00001 pp, while the Jarrow–Rudd 800/1,600 pair lies 0.005 pp from its 3,200/6,400 value. The Leisen–Reimer tree moves monotonically with step count (ATM: 0.00012 pp from 1,601 to 3,201 steps, then 0.00006 pp to 6,401), so it is the reference. These checks do not establish a convergence order or an error bound.</w:t>
      </w:r>
    </w:p>
    <w:p>
      <w:pPr>
        <w:pStyle w:val="BodyText"/>
      </w:pPr>
      <w:r>
        <w:rPr>
          <w:b/>
          <w:bCs/>
          <w:lang w:val="en-US"/>
        </w:rPr>
        <w:t xml:space="preserve">Table C3.</w:t>
      </w:r>
      <w:r>
        <w:rPr>
          <w:lang w:val="en-US"/>
        </w:rPr>
        <w:t xml:space="preserve"> </w:t>
      </w:r>
      <w:r>
        <w:rPr>
          <w:lang w:val="en-US"/>
        </w:rPr>
        <w:t xml:space="preserve">Synthetic workflow comparison under the design of Section 7.9: 200 replicates per cell, with seeded draws shared across tick and spread cells. Decided is the share of all pairs given an order. Wrong among decided is the wrong-order share of decided truly ordered pairs. False exclusion is the share of truly ordered pairs left undecided. Parentheses give replicate-level MCSE. The pooled count column sums, over the 200 replicates, the wrong E0 orders and the E0 decided truly ordered pairs. Pooled denominators are 9,000 pairs of which 8,136 are truly ordered at n=10, and 245,000 pairs of which 220,871 are truly ordered at n=50. Table rates are means of replicate-level shares, so a pooled ratio can differ from the table: 7 / 4,340 is 0.16%, against 0.13% at n=10, tick 0.005. At n=10 the wrong-order counts are small (3 to 69 across all replicates). The credit at n=10, tick 0.005 rests on seven wrong orders and clears the claim threshold by 0.015 percentage points; at tick 0.01 the rule is not met. Tick and half-spread are in price units. E1 equals E0 in every cell and is omitted. Credited applies the claim rule in Section 7.9; a dash marks a method that made no decisions.</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lang w:val="en-US"/>
              </w:rPr>
              <w:t xml:space="preserve">n</w:t>
            </w:r>
          </w:p>
        </w:tc>
        <w:tc>
          <w:tcPr/>
          <w:p>
            <w:pPr>
              <w:pStyle w:val="Compact"/>
              <w:jc w:val="right"/>
            </w:pPr>
            <w:r>
              <w:rPr>
                <w:lang w:val="en-US"/>
              </w:rPr>
              <w:t xml:space="preserve">Tick</w:t>
            </w:r>
          </w:p>
        </w:tc>
        <w:tc>
          <w:tcPr/>
          <w:p>
            <w:pPr>
              <w:pStyle w:val="Compact"/>
              <w:jc w:val="right"/>
            </w:pPr>
            <w:r>
              <w:rPr>
                <w:lang w:val="en-US"/>
              </w:rPr>
              <w:t xml:space="preserve">Half-spread</w:t>
            </w:r>
          </w:p>
        </w:tc>
        <w:tc>
          <w:tcPr/>
          <w:p>
            <w:pPr>
              <w:pStyle w:val="Compact"/>
              <w:jc w:val="right"/>
            </w:pPr>
            <w:r>
              <w:rPr>
                <w:lang w:val="en-US"/>
              </w:rPr>
              <w:t xml:space="preserve">Decided, E0 / E2</w:t>
            </w:r>
          </w:p>
        </w:tc>
        <w:tc>
          <w:tcPr/>
          <w:p>
            <w:pPr>
              <w:pStyle w:val="Compact"/>
              <w:jc w:val="right"/>
            </w:pPr>
            <w:r>
              <w:rPr>
                <w:lang w:val="en-US"/>
              </w:rPr>
              <w:t xml:space="preserve">Wrong among decided, E0 (MCSE)</w:t>
            </w:r>
          </w:p>
        </w:tc>
        <w:tc>
          <w:tcPr/>
          <w:p>
            <w:pPr>
              <w:pStyle w:val="Compact"/>
              <w:jc w:val="right"/>
            </w:pPr>
            <w:r>
              <w:rPr>
                <w:lang w:val="en-US"/>
              </w:rPr>
              <w:t xml:space="preserve">E0 wrong / decided ordered (pooled)</w:t>
            </w:r>
          </w:p>
        </w:tc>
        <w:tc>
          <w:tcPr/>
          <w:p>
            <w:pPr>
              <w:pStyle w:val="Compact"/>
              <w:jc w:val="right"/>
            </w:pPr>
            <w:r>
              <w:rPr>
                <w:lang w:val="en-US"/>
              </w:rPr>
              <w:t xml:space="preserve">Wrong among decided, E2 (MCSE)</w:t>
            </w:r>
          </w:p>
        </w:tc>
        <w:tc>
          <w:tcPr/>
          <w:p>
            <w:pPr>
              <w:pStyle w:val="Compact"/>
              <w:jc w:val="right"/>
            </w:pPr>
            <w:r>
              <w:rPr>
                <w:lang w:val="en-US"/>
              </w:rPr>
              <w:t xml:space="preserve">False exclusion, E0 / E2</w:t>
            </w:r>
          </w:p>
        </w:tc>
        <w:tc>
          <w:tcPr/>
          <w:p>
            <w:pPr>
              <w:pStyle w:val="Compact"/>
              <w:jc w:val="left"/>
            </w:pPr>
            <w:r>
              <w:rPr>
                <w:lang w:val="en-US"/>
              </w:rPr>
              <w:t xml:space="preserve">Credited</w:t>
            </w:r>
          </w:p>
        </w:tc>
      </w:tr>
      <w:tr>
        <w:tc>
          <w:tcPr/>
          <w:p>
            <w:pPr>
              <w:pStyle w:val="Compact"/>
              <w:jc w:val="left"/>
            </w:pPr>
            <w:r>
              <w:rPr>
                <w:lang w:val="en-US"/>
              </w:rPr>
              <w:t xml:space="preserve">10</w:t>
            </w:r>
          </w:p>
        </w:tc>
        <w:tc>
          <w:tcPr/>
          <w:p>
            <w:pPr>
              <w:pStyle w:val="Compact"/>
              <w:jc w:val="right"/>
            </w:pPr>
            <w:r>
              <w:rPr>
                <w:lang w:val="en-US"/>
              </w:rPr>
              <w:t xml:space="preserve">0.005</w:t>
            </w:r>
          </w:p>
        </w:tc>
        <w:tc>
          <w:tcPr/>
          <w:p>
            <w:pPr>
              <w:pStyle w:val="Compact"/>
              <w:jc w:val="right"/>
            </w:pPr>
            <w:r>
              <w:rPr>
                <w:lang w:val="en-US"/>
              </w:rPr>
              <w:t xml:space="preserve">0.01</w:t>
            </w:r>
          </w:p>
        </w:tc>
        <w:tc>
          <w:tcPr/>
          <w:p>
            <w:pPr>
              <w:pStyle w:val="Compact"/>
              <w:jc w:val="right"/>
            </w:pPr>
            <w:r>
              <w:rPr>
                <w:lang w:val="en-US"/>
              </w:rPr>
              <w:t xml:space="preserve">53.7% / 20.2%</w:t>
            </w:r>
          </w:p>
        </w:tc>
        <w:tc>
          <w:tcPr/>
          <w:p>
            <w:pPr>
              <w:pStyle w:val="Compact"/>
              <w:jc w:val="right"/>
            </w:pPr>
            <w:r>
              <w:rPr>
                <w:lang w:val="en-US"/>
              </w:rPr>
              <w:t xml:space="preserve">0.13% (0.06)</w:t>
            </w:r>
          </w:p>
        </w:tc>
        <w:tc>
          <w:tcPr/>
          <w:p>
            <w:pPr>
              <w:pStyle w:val="Compact"/>
              <w:jc w:val="right"/>
            </w:pPr>
            <w:r>
              <w:rPr>
                <w:lang w:val="en-US"/>
              </w:rPr>
              <w:t xml:space="preserve">7 / 4,340</w:t>
            </w:r>
          </w:p>
        </w:tc>
        <w:tc>
          <w:tcPr/>
          <w:p>
            <w:pPr>
              <w:pStyle w:val="Compact"/>
              <w:jc w:val="right"/>
            </w:pPr>
            <w:r>
              <w:rPr>
                <w:lang w:val="en-US"/>
              </w:rPr>
              <w:t xml:space="preserve">0.00% (0.00)</w:t>
            </w:r>
          </w:p>
        </w:tc>
        <w:tc>
          <w:tcPr/>
          <w:p>
            <w:pPr>
              <w:pStyle w:val="Compact"/>
              <w:jc w:val="right"/>
            </w:pPr>
            <w:r>
              <w:rPr>
                <w:lang w:val="en-US"/>
              </w:rPr>
              <w:t xml:space="preserve">46.5% / 78.3%</w:t>
            </w:r>
          </w:p>
        </w:tc>
        <w:tc>
          <w:tcPr/>
          <w:p>
            <w:pPr>
              <w:pStyle w:val="Compact"/>
              <w:jc w:val="left"/>
            </w:pPr>
            <w:r>
              <w:rPr>
                <w:lang w:val="en-US"/>
              </w:rPr>
              <w:t xml:space="preserve">Yes</w:t>
            </w:r>
          </w:p>
        </w:tc>
      </w:tr>
      <w:tr>
        <w:tc>
          <w:tcPr/>
          <w:p>
            <w:pPr>
              <w:pStyle w:val="Compact"/>
              <w:jc w:val="left"/>
            </w:pPr>
            <w:r>
              <w:rPr>
                <w:lang w:val="en-US"/>
              </w:rPr>
              <w:t xml:space="preserve">10</w:t>
            </w:r>
          </w:p>
        </w:tc>
        <w:tc>
          <w:tcPr/>
          <w:p>
            <w:pPr>
              <w:pStyle w:val="Compact"/>
              <w:jc w:val="right"/>
            </w:pPr>
            <w:r>
              <w:rPr>
                <w:lang w:val="en-US"/>
              </w:rPr>
              <w:t xml:space="preserve">0.005</w:t>
            </w:r>
          </w:p>
        </w:tc>
        <w:tc>
          <w:tcPr/>
          <w:p>
            <w:pPr>
              <w:pStyle w:val="Compact"/>
              <w:jc w:val="right"/>
            </w:pPr>
            <w:r>
              <w:rPr>
                <w:lang w:val="en-US"/>
              </w:rPr>
              <w:t xml:space="preserve">0.05</w:t>
            </w:r>
          </w:p>
        </w:tc>
        <w:tc>
          <w:tcPr/>
          <w:p>
            <w:pPr>
              <w:pStyle w:val="Compact"/>
              <w:jc w:val="right"/>
            </w:pPr>
            <w:r>
              <w:rPr>
                <w:lang w:val="en-US"/>
              </w:rPr>
              <w:t xml:space="preserve">53.7% / 15.5%</w:t>
            </w:r>
          </w:p>
        </w:tc>
        <w:tc>
          <w:tcPr/>
          <w:p>
            <w:pPr>
              <w:pStyle w:val="Compact"/>
              <w:jc w:val="right"/>
            </w:pPr>
            <w:r>
              <w:rPr>
                <w:lang w:val="en-US"/>
              </w:rPr>
              <w:t xml:space="preserve">0.13% (0.06)</w:t>
            </w:r>
          </w:p>
        </w:tc>
        <w:tc>
          <w:tcPr/>
          <w:p>
            <w:pPr>
              <w:pStyle w:val="Compact"/>
              <w:jc w:val="right"/>
            </w:pPr>
            <w:r>
              <w:rPr>
                <w:lang w:val="en-US"/>
              </w:rPr>
              <w:t xml:space="preserve">7 / 4,340</w:t>
            </w:r>
          </w:p>
        </w:tc>
        <w:tc>
          <w:tcPr/>
          <w:p>
            <w:pPr>
              <w:pStyle w:val="Compact"/>
              <w:jc w:val="right"/>
            </w:pPr>
            <w:r>
              <w:rPr>
                <w:lang w:val="en-US"/>
              </w:rPr>
              <w:t xml:space="preserve">0.00% (0.00)</w:t>
            </w:r>
          </w:p>
        </w:tc>
        <w:tc>
          <w:tcPr/>
          <w:p>
            <w:pPr>
              <w:pStyle w:val="Compact"/>
              <w:jc w:val="right"/>
            </w:pPr>
            <w:r>
              <w:rPr>
                <w:lang w:val="en-US"/>
              </w:rPr>
              <w:t xml:space="preserve">46.5% / 82.9%</w:t>
            </w:r>
          </w:p>
        </w:tc>
        <w:tc>
          <w:tcPr/>
          <w:p>
            <w:pPr>
              <w:pStyle w:val="Compact"/>
              <w:jc w:val="left"/>
            </w:pPr>
            <w:r>
              <w:rPr>
                <w:lang w:val="en-US"/>
              </w:rPr>
              <w:t xml:space="preserve">Yes</w:t>
            </w:r>
          </w:p>
        </w:tc>
      </w:tr>
      <w:tr>
        <w:tc>
          <w:tcPr/>
          <w:p>
            <w:pPr>
              <w:pStyle w:val="Compact"/>
              <w:jc w:val="left"/>
            </w:pPr>
            <w:r>
              <w:rPr>
                <w:lang w:val="en-US"/>
              </w:rPr>
              <w:t xml:space="preserve">10</w:t>
            </w:r>
          </w:p>
        </w:tc>
        <w:tc>
          <w:tcPr/>
          <w:p>
            <w:pPr>
              <w:pStyle w:val="Compact"/>
              <w:jc w:val="right"/>
            </w:pPr>
            <w:r>
              <w:rPr>
                <w:lang w:val="en-US"/>
              </w:rPr>
              <w:t xml:space="preserve">0.005</w:t>
            </w:r>
          </w:p>
        </w:tc>
        <w:tc>
          <w:tcPr/>
          <w:p>
            <w:pPr>
              <w:pStyle w:val="Compact"/>
              <w:jc w:val="right"/>
            </w:pPr>
            <w:r>
              <w:rPr>
                <w:lang w:val="en-US"/>
              </w:rPr>
              <w:t xml:space="preserve">0.25</w:t>
            </w:r>
          </w:p>
        </w:tc>
        <w:tc>
          <w:tcPr/>
          <w:p>
            <w:pPr>
              <w:pStyle w:val="Compact"/>
              <w:jc w:val="right"/>
            </w:pPr>
            <w:r>
              <w:rPr>
                <w:lang w:val="en-US"/>
              </w:rPr>
              <w:t xml:space="preserve">53.7% / 1.4%</w:t>
            </w:r>
          </w:p>
        </w:tc>
        <w:tc>
          <w:tcPr/>
          <w:p>
            <w:pPr>
              <w:pStyle w:val="Compact"/>
              <w:jc w:val="right"/>
            </w:pPr>
            <w:r>
              <w:rPr>
                <w:lang w:val="en-US"/>
              </w:rPr>
              <w:t xml:space="preserve">0.13% (0.06)</w:t>
            </w:r>
          </w:p>
        </w:tc>
        <w:tc>
          <w:tcPr/>
          <w:p>
            <w:pPr>
              <w:pStyle w:val="Compact"/>
              <w:jc w:val="right"/>
            </w:pPr>
            <w:r>
              <w:rPr>
                <w:lang w:val="en-US"/>
              </w:rPr>
              <w:t xml:space="preserve">7 / 4,340</w:t>
            </w:r>
          </w:p>
        </w:tc>
        <w:tc>
          <w:tcPr/>
          <w:p>
            <w:pPr>
              <w:pStyle w:val="Compact"/>
              <w:jc w:val="right"/>
            </w:pPr>
            <w:r>
              <w:rPr>
                <w:lang w:val="en-US"/>
              </w:rPr>
              <w:t xml:space="preserve">0.00% (0.00)</w:t>
            </w:r>
          </w:p>
        </w:tc>
        <w:tc>
          <w:tcPr/>
          <w:p>
            <w:pPr>
              <w:pStyle w:val="Compact"/>
              <w:jc w:val="right"/>
            </w:pPr>
            <w:r>
              <w:rPr>
                <w:lang w:val="en-US"/>
              </w:rPr>
              <w:t xml:space="preserve">46.5% / 98.4%</w:t>
            </w:r>
          </w:p>
        </w:tc>
        <w:tc>
          <w:tcPr/>
          <w:p>
            <w:pPr>
              <w:pStyle w:val="Compact"/>
              <w:jc w:val="left"/>
            </w:pPr>
            <w:r>
              <w:rPr>
                <w:lang w:val="en-US"/>
              </w:rPr>
              <w:t xml:space="preserve">Yes</w:t>
            </w:r>
          </w:p>
        </w:tc>
      </w:tr>
      <w:tr>
        <w:tc>
          <w:tcPr/>
          <w:p>
            <w:pPr>
              <w:pStyle w:val="Compact"/>
              <w:jc w:val="left"/>
            </w:pPr>
            <w:r>
              <w:rPr>
                <w:lang w:val="en-US"/>
              </w:rPr>
              <w:t xml:space="preserve">10</w:t>
            </w:r>
          </w:p>
        </w:tc>
        <w:tc>
          <w:tcPr/>
          <w:p>
            <w:pPr>
              <w:pStyle w:val="Compact"/>
              <w:jc w:val="right"/>
            </w:pPr>
            <w:r>
              <w:rPr>
                <w:lang w:val="en-US"/>
              </w:rPr>
              <w:t xml:space="preserve">0.01</w:t>
            </w:r>
          </w:p>
        </w:tc>
        <w:tc>
          <w:tcPr/>
          <w:p>
            <w:pPr>
              <w:pStyle w:val="Compact"/>
              <w:jc w:val="right"/>
            </w:pPr>
            <w:r>
              <w:rPr>
                <w:lang w:val="en-US"/>
              </w:rPr>
              <w:t xml:space="preserve">0.01</w:t>
            </w:r>
          </w:p>
        </w:tc>
        <w:tc>
          <w:tcPr/>
          <w:p>
            <w:pPr>
              <w:pStyle w:val="Compact"/>
              <w:jc w:val="right"/>
            </w:pPr>
            <w:r>
              <w:rPr>
                <w:lang w:val="en-US"/>
              </w:rPr>
              <w:t xml:space="preserve">51.9% / 13.1%</w:t>
            </w:r>
          </w:p>
        </w:tc>
        <w:tc>
          <w:tcPr/>
          <w:p>
            <w:pPr>
              <w:pStyle w:val="Compact"/>
              <w:jc w:val="right"/>
            </w:pPr>
            <w:r>
              <w:rPr>
                <w:lang w:val="en-US"/>
              </w:rPr>
              <w:t xml:space="preserve">0.06% (0.03)</w:t>
            </w:r>
          </w:p>
        </w:tc>
        <w:tc>
          <w:tcPr/>
          <w:p>
            <w:pPr>
              <w:pStyle w:val="Compact"/>
              <w:jc w:val="right"/>
            </w:pPr>
            <w:r>
              <w:rPr>
                <w:lang w:val="en-US"/>
              </w:rPr>
              <w:t xml:space="preserve">3 / 4,204</w:t>
            </w:r>
          </w:p>
        </w:tc>
        <w:tc>
          <w:tcPr/>
          <w:p>
            <w:pPr>
              <w:pStyle w:val="Compact"/>
              <w:jc w:val="right"/>
            </w:pPr>
            <w:r>
              <w:rPr>
                <w:lang w:val="en-US"/>
              </w:rPr>
              <w:t xml:space="preserve">0.00% (0.00)</w:t>
            </w:r>
          </w:p>
        </w:tc>
        <w:tc>
          <w:tcPr/>
          <w:p>
            <w:pPr>
              <w:pStyle w:val="Compact"/>
              <w:jc w:val="right"/>
            </w:pPr>
            <w:r>
              <w:rPr>
                <w:lang w:val="en-US"/>
              </w:rPr>
              <w:t xml:space="preserve">48.2% / 86.0%</w:t>
            </w:r>
          </w:p>
        </w:tc>
        <w:tc>
          <w:tcPr/>
          <w:p>
            <w:pPr>
              <w:pStyle w:val="Compact"/>
              <w:jc w:val="left"/>
            </w:pPr>
            <w:r>
              <w:rPr>
                <w:lang w:val="en-US"/>
              </w:rPr>
              <w:t xml:space="preserve">No</w:t>
            </w:r>
          </w:p>
        </w:tc>
      </w:tr>
      <w:tr>
        <w:tc>
          <w:tcPr/>
          <w:p>
            <w:pPr>
              <w:pStyle w:val="Compact"/>
              <w:jc w:val="left"/>
            </w:pPr>
            <w:r>
              <w:rPr>
                <w:lang w:val="en-US"/>
              </w:rPr>
              <w:t xml:space="preserve">10</w:t>
            </w:r>
          </w:p>
        </w:tc>
        <w:tc>
          <w:tcPr/>
          <w:p>
            <w:pPr>
              <w:pStyle w:val="Compact"/>
              <w:jc w:val="right"/>
            </w:pPr>
            <w:r>
              <w:rPr>
                <w:lang w:val="en-US"/>
              </w:rPr>
              <w:t xml:space="preserve">0.01</w:t>
            </w:r>
          </w:p>
        </w:tc>
        <w:tc>
          <w:tcPr/>
          <w:p>
            <w:pPr>
              <w:pStyle w:val="Compact"/>
              <w:jc w:val="right"/>
            </w:pPr>
            <w:r>
              <w:rPr>
                <w:lang w:val="en-US"/>
              </w:rPr>
              <w:t xml:space="preserve">0.05</w:t>
            </w:r>
          </w:p>
        </w:tc>
        <w:tc>
          <w:tcPr/>
          <w:p>
            <w:pPr>
              <w:pStyle w:val="Compact"/>
              <w:jc w:val="right"/>
            </w:pPr>
            <w:r>
              <w:rPr>
                <w:lang w:val="en-US"/>
              </w:rPr>
              <w:t xml:space="preserve">51.9% / 10.4%</w:t>
            </w:r>
          </w:p>
        </w:tc>
        <w:tc>
          <w:tcPr/>
          <w:p>
            <w:pPr>
              <w:pStyle w:val="Compact"/>
              <w:jc w:val="right"/>
            </w:pPr>
            <w:r>
              <w:rPr>
                <w:lang w:val="en-US"/>
              </w:rPr>
              <w:t xml:space="preserve">0.06% (0.03)</w:t>
            </w:r>
          </w:p>
        </w:tc>
        <w:tc>
          <w:tcPr/>
          <w:p>
            <w:pPr>
              <w:pStyle w:val="Compact"/>
              <w:jc w:val="right"/>
            </w:pPr>
            <w:r>
              <w:rPr>
                <w:lang w:val="en-US"/>
              </w:rPr>
              <w:t xml:space="preserve">3 / 4,204</w:t>
            </w:r>
          </w:p>
        </w:tc>
        <w:tc>
          <w:tcPr/>
          <w:p>
            <w:pPr>
              <w:pStyle w:val="Compact"/>
              <w:jc w:val="right"/>
            </w:pPr>
            <w:r>
              <w:rPr>
                <w:lang w:val="en-US"/>
              </w:rPr>
              <w:t xml:space="preserve">0.00% (0.00)</w:t>
            </w:r>
          </w:p>
        </w:tc>
        <w:tc>
          <w:tcPr/>
          <w:p>
            <w:pPr>
              <w:pStyle w:val="Compact"/>
              <w:jc w:val="right"/>
            </w:pPr>
            <w:r>
              <w:rPr>
                <w:lang w:val="en-US"/>
              </w:rPr>
              <w:t xml:space="preserve">48.2% / 88.6%</w:t>
            </w:r>
          </w:p>
        </w:tc>
        <w:tc>
          <w:tcPr/>
          <w:p>
            <w:pPr>
              <w:pStyle w:val="Compact"/>
              <w:jc w:val="left"/>
            </w:pPr>
            <w:r>
              <w:rPr>
                <w:lang w:val="en-US"/>
              </w:rPr>
              <w:t xml:space="preserve">No</w:t>
            </w:r>
          </w:p>
        </w:tc>
      </w:tr>
      <w:tr>
        <w:tc>
          <w:tcPr/>
          <w:p>
            <w:pPr>
              <w:pStyle w:val="Compact"/>
              <w:jc w:val="left"/>
            </w:pPr>
            <w:r>
              <w:rPr>
                <w:lang w:val="en-US"/>
              </w:rPr>
              <w:t xml:space="preserve">10</w:t>
            </w:r>
          </w:p>
        </w:tc>
        <w:tc>
          <w:tcPr/>
          <w:p>
            <w:pPr>
              <w:pStyle w:val="Compact"/>
              <w:jc w:val="right"/>
            </w:pPr>
            <w:r>
              <w:rPr>
                <w:lang w:val="en-US"/>
              </w:rPr>
              <w:t xml:space="preserve">0.01</w:t>
            </w:r>
          </w:p>
        </w:tc>
        <w:tc>
          <w:tcPr/>
          <w:p>
            <w:pPr>
              <w:pStyle w:val="Compact"/>
              <w:jc w:val="right"/>
            </w:pPr>
            <w:r>
              <w:rPr>
                <w:lang w:val="en-US"/>
              </w:rPr>
              <w:t xml:space="preserve">0.25</w:t>
            </w:r>
          </w:p>
        </w:tc>
        <w:tc>
          <w:tcPr/>
          <w:p>
            <w:pPr>
              <w:pStyle w:val="Compact"/>
              <w:jc w:val="right"/>
            </w:pPr>
            <w:r>
              <w:rPr>
                <w:lang w:val="en-US"/>
              </w:rPr>
              <w:t xml:space="preserve">51.9% / 1.3%</w:t>
            </w:r>
          </w:p>
        </w:tc>
        <w:tc>
          <w:tcPr/>
          <w:p>
            <w:pPr>
              <w:pStyle w:val="Compact"/>
              <w:jc w:val="right"/>
            </w:pPr>
            <w:r>
              <w:rPr>
                <w:lang w:val="en-US"/>
              </w:rPr>
              <w:t xml:space="preserve">0.06% (0.03)</w:t>
            </w:r>
          </w:p>
        </w:tc>
        <w:tc>
          <w:tcPr/>
          <w:p>
            <w:pPr>
              <w:pStyle w:val="Compact"/>
              <w:jc w:val="right"/>
            </w:pPr>
            <w:r>
              <w:rPr>
                <w:lang w:val="en-US"/>
              </w:rPr>
              <w:t xml:space="preserve">3 / 4,204</w:t>
            </w:r>
          </w:p>
        </w:tc>
        <w:tc>
          <w:tcPr/>
          <w:p>
            <w:pPr>
              <w:pStyle w:val="Compact"/>
              <w:jc w:val="right"/>
            </w:pPr>
            <w:r>
              <w:rPr>
                <w:lang w:val="en-US"/>
              </w:rPr>
              <w:t xml:space="preserve">0.00% (0.00)</w:t>
            </w:r>
          </w:p>
        </w:tc>
        <w:tc>
          <w:tcPr/>
          <w:p>
            <w:pPr>
              <w:pStyle w:val="Compact"/>
              <w:jc w:val="right"/>
            </w:pPr>
            <w:r>
              <w:rPr>
                <w:lang w:val="en-US"/>
              </w:rPr>
              <w:t xml:space="preserve">48.2% / 98.5%</w:t>
            </w:r>
          </w:p>
        </w:tc>
        <w:tc>
          <w:tcPr/>
          <w:p>
            <w:pPr>
              <w:pStyle w:val="Compact"/>
              <w:jc w:val="left"/>
            </w:pPr>
            <w:r>
              <w:rPr>
                <w:lang w:val="en-US"/>
              </w:rPr>
              <w:t xml:space="preserve">No</w:t>
            </w:r>
          </w:p>
        </w:tc>
      </w:tr>
      <w:tr>
        <w:tc>
          <w:tcPr/>
          <w:p>
            <w:pPr>
              <w:pStyle w:val="Compact"/>
              <w:jc w:val="left"/>
            </w:pPr>
            <w:r>
              <w:rPr>
                <w:lang w:val="en-US"/>
              </w:rPr>
              <w:t xml:space="preserve">10</w:t>
            </w:r>
          </w:p>
        </w:tc>
        <w:tc>
          <w:tcPr/>
          <w:p>
            <w:pPr>
              <w:pStyle w:val="Compact"/>
              <w:jc w:val="right"/>
            </w:pPr>
            <w:r>
              <w:rPr>
                <w:lang w:val="en-US"/>
              </w:rPr>
              <w:t xml:space="preserve">0.05</w:t>
            </w:r>
          </w:p>
        </w:tc>
        <w:tc>
          <w:tcPr/>
          <w:p>
            <w:pPr>
              <w:pStyle w:val="Compact"/>
              <w:jc w:val="right"/>
            </w:pPr>
            <w:r>
              <w:rPr>
                <w:lang w:val="en-US"/>
              </w:rPr>
              <w:t xml:space="preserve">0.01</w:t>
            </w:r>
          </w:p>
        </w:tc>
        <w:tc>
          <w:tcPr/>
          <w:p>
            <w:pPr>
              <w:pStyle w:val="Compact"/>
              <w:jc w:val="right"/>
            </w:pPr>
            <w:r>
              <w:rPr>
                <w:lang w:val="en-US"/>
              </w:rPr>
              <w:t xml:space="preserve">48.2% / 0.0%</w:t>
            </w:r>
          </w:p>
        </w:tc>
        <w:tc>
          <w:tcPr/>
          <w:p>
            <w:pPr>
              <w:pStyle w:val="Compact"/>
              <w:jc w:val="right"/>
            </w:pPr>
            <w:r>
              <w:rPr>
                <w:lang w:val="en-US"/>
              </w:rPr>
              <w:t xml:space="preserve">1.89% (0.28)</w:t>
            </w:r>
          </w:p>
        </w:tc>
        <w:tc>
          <w:tcPr/>
          <w:p>
            <w:pPr>
              <w:pStyle w:val="Compact"/>
              <w:jc w:val="right"/>
            </w:pPr>
            <w:r>
              <w:rPr>
                <w:lang w:val="en-US"/>
              </w:rPr>
              <w:t xml:space="preserve">69 / 3,914</w:t>
            </w:r>
          </w:p>
        </w:tc>
        <w:tc>
          <w:tcPr/>
          <w:p>
            <w:pPr>
              <w:pStyle w:val="Compact"/>
              <w:jc w:val="right"/>
            </w:pPr>
            <w:r>
              <w:rPr>
                <w:lang w:val="en-US"/>
              </w:rPr>
              <w:t xml:space="preserve">—</w:t>
            </w:r>
          </w:p>
        </w:tc>
        <w:tc>
          <w:tcPr/>
          <w:p>
            <w:pPr>
              <w:pStyle w:val="Compact"/>
              <w:jc w:val="right"/>
            </w:pPr>
            <w:r>
              <w:rPr>
                <w:lang w:val="en-US"/>
              </w:rPr>
              <w:t xml:space="preserve">51.8% / 100.0%</w:t>
            </w:r>
          </w:p>
        </w:tc>
        <w:tc>
          <w:tcPr/>
          <w:p>
            <w:pPr>
              <w:pStyle w:val="Compact"/>
              <w:jc w:val="left"/>
            </w:pPr>
            <w:r>
              <w:rPr>
                <w:lang w:val="en-US"/>
              </w:rPr>
              <w:t xml:space="preserve">No</w:t>
            </w:r>
          </w:p>
        </w:tc>
      </w:tr>
      <w:tr>
        <w:tc>
          <w:tcPr/>
          <w:p>
            <w:pPr>
              <w:pStyle w:val="Compact"/>
              <w:jc w:val="left"/>
            </w:pPr>
            <w:r>
              <w:rPr>
                <w:lang w:val="en-US"/>
              </w:rPr>
              <w:t xml:space="preserve">10</w:t>
            </w:r>
          </w:p>
        </w:tc>
        <w:tc>
          <w:tcPr/>
          <w:p>
            <w:pPr>
              <w:pStyle w:val="Compact"/>
              <w:jc w:val="right"/>
            </w:pPr>
            <w:r>
              <w:rPr>
                <w:lang w:val="en-US"/>
              </w:rPr>
              <w:t xml:space="preserve">0.05</w:t>
            </w:r>
          </w:p>
        </w:tc>
        <w:tc>
          <w:tcPr/>
          <w:p>
            <w:pPr>
              <w:pStyle w:val="Compact"/>
              <w:jc w:val="right"/>
            </w:pPr>
            <w:r>
              <w:rPr>
                <w:lang w:val="en-US"/>
              </w:rPr>
              <w:t xml:space="preserve">0.05</w:t>
            </w:r>
          </w:p>
        </w:tc>
        <w:tc>
          <w:tcPr/>
          <w:p>
            <w:pPr>
              <w:pStyle w:val="Compact"/>
              <w:jc w:val="right"/>
            </w:pPr>
            <w:r>
              <w:rPr>
                <w:lang w:val="en-US"/>
              </w:rPr>
              <w:t xml:space="preserve">48.2% / 0.0%</w:t>
            </w:r>
          </w:p>
        </w:tc>
        <w:tc>
          <w:tcPr/>
          <w:p>
            <w:pPr>
              <w:pStyle w:val="Compact"/>
              <w:jc w:val="right"/>
            </w:pPr>
            <w:r>
              <w:rPr>
                <w:lang w:val="en-US"/>
              </w:rPr>
              <w:t xml:space="preserve">1.89% (0.28)</w:t>
            </w:r>
          </w:p>
        </w:tc>
        <w:tc>
          <w:tcPr/>
          <w:p>
            <w:pPr>
              <w:pStyle w:val="Compact"/>
              <w:jc w:val="right"/>
            </w:pPr>
            <w:r>
              <w:rPr>
                <w:lang w:val="en-US"/>
              </w:rPr>
              <w:t xml:space="preserve">69 / 3,914</w:t>
            </w:r>
          </w:p>
        </w:tc>
        <w:tc>
          <w:tcPr/>
          <w:p>
            <w:pPr>
              <w:pStyle w:val="Compact"/>
              <w:jc w:val="right"/>
            </w:pPr>
            <w:r>
              <w:rPr>
                <w:lang w:val="en-US"/>
              </w:rPr>
              <w:t xml:space="preserve">—</w:t>
            </w:r>
          </w:p>
        </w:tc>
        <w:tc>
          <w:tcPr/>
          <w:p>
            <w:pPr>
              <w:pStyle w:val="Compact"/>
              <w:jc w:val="right"/>
            </w:pPr>
            <w:r>
              <w:rPr>
                <w:lang w:val="en-US"/>
              </w:rPr>
              <w:t xml:space="preserve">51.8% / 100.0%</w:t>
            </w:r>
          </w:p>
        </w:tc>
        <w:tc>
          <w:tcPr/>
          <w:p>
            <w:pPr>
              <w:pStyle w:val="Compact"/>
              <w:jc w:val="left"/>
            </w:pPr>
            <w:r>
              <w:rPr>
                <w:lang w:val="en-US"/>
              </w:rPr>
              <w:t xml:space="preserve">No</w:t>
            </w:r>
          </w:p>
        </w:tc>
      </w:tr>
      <w:tr>
        <w:tc>
          <w:tcPr/>
          <w:p>
            <w:pPr>
              <w:pStyle w:val="Compact"/>
              <w:jc w:val="left"/>
            </w:pPr>
            <w:r>
              <w:rPr>
                <w:lang w:val="en-US"/>
              </w:rPr>
              <w:t xml:space="preserve">10</w:t>
            </w:r>
          </w:p>
        </w:tc>
        <w:tc>
          <w:tcPr/>
          <w:p>
            <w:pPr>
              <w:pStyle w:val="Compact"/>
              <w:jc w:val="right"/>
            </w:pPr>
            <w:r>
              <w:rPr>
                <w:lang w:val="en-US"/>
              </w:rPr>
              <w:t xml:space="preserve">0.05</w:t>
            </w:r>
          </w:p>
        </w:tc>
        <w:tc>
          <w:tcPr/>
          <w:p>
            <w:pPr>
              <w:pStyle w:val="Compact"/>
              <w:jc w:val="right"/>
            </w:pPr>
            <w:r>
              <w:rPr>
                <w:lang w:val="en-US"/>
              </w:rPr>
              <w:t xml:space="preserve">0.25</w:t>
            </w:r>
          </w:p>
        </w:tc>
        <w:tc>
          <w:tcPr/>
          <w:p>
            <w:pPr>
              <w:pStyle w:val="Compact"/>
              <w:jc w:val="right"/>
            </w:pPr>
            <w:r>
              <w:rPr>
                <w:lang w:val="en-US"/>
              </w:rPr>
              <w:t xml:space="preserve">48.2% / 0.0%</w:t>
            </w:r>
          </w:p>
        </w:tc>
        <w:tc>
          <w:tcPr/>
          <w:p>
            <w:pPr>
              <w:pStyle w:val="Compact"/>
              <w:jc w:val="right"/>
            </w:pPr>
            <w:r>
              <w:rPr>
                <w:lang w:val="en-US"/>
              </w:rPr>
              <w:t xml:space="preserve">1.89% (0.28)</w:t>
            </w:r>
          </w:p>
        </w:tc>
        <w:tc>
          <w:tcPr/>
          <w:p>
            <w:pPr>
              <w:pStyle w:val="Compact"/>
              <w:jc w:val="right"/>
            </w:pPr>
            <w:r>
              <w:rPr>
                <w:lang w:val="en-US"/>
              </w:rPr>
              <w:t xml:space="preserve">69 / 3,914</w:t>
            </w:r>
          </w:p>
        </w:tc>
        <w:tc>
          <w:tcPr/>
          <w:p>
            <w:pPr>
              <w:pStyle w:val="Compact"/>
              <w:jc w:val="right"/>
            </w:pPr>
            <w:r>
              <w:rPr>
                <w:lang w:val="en-US"/>
              </w:rPr>
              <w:t xml:space="preserve">—</w:t>
            </w:r>
          </w:p>
        </w:tc>
        <w:tc>
          <w:tcPr/>
          <w:p>
            <w:pPr>
              <w:pStyle w:val="Compact"/>
              <w:jc w:val="right"/>
            </w:pPr>
            <w:r>
              <w:rPr>
                <w:lang w:val="en-US"/>
              </w:rPr>
              <w:t xml:space="preserve">51.8% / 100.0%</w:t>
            </w:r>
          </w:p>
        </w:tc>
        <w:tc>
          <w:tcPr/>
          <w:p>
            <w:pPr>
              <w:pStyle w:val="Compact"/>
              <w:jc w:val="left"/>
            </w:pPr>
            <w:r>
              <w:rPr>
                <w:lang w:val="en-US"/>
              </w:rPr>
              <w:t xml:space="preserve">No</w:t>
            </w:r>
          </w:p>
        </w:tc>
      </w:tr>
      <w:tr>
        <w:tc>
          <w:tcPr/>
          <w:p>
            <w:pPr>
              <w:pStyle w:val="Compact"/>
              <w:jc w:val="left"/>
            </w:pPr>
            <w:r>
              <w:rPr>
                <w:lang w:val="en-US"/>
              </w:rPr>
              <w:t xml:space="preserve">50</w:t>
            </w:r>
          </w:p>
        </w:tc>
        <w:tc>
          <w:tcPr/>
          <w:p>
            <w:pPr>
              <w:pStyle w:val="Compact"/>
              <w:jc w:val="right"/>
            </w:pPr>
            <w:r>
              <w:rPr>
                <w:lang w:val="en-US"/>
              </w:rPr>
              <w:t xml:space="preserve">0.005</w:t>
            </w:r>
          </w:p>
        </w:tc>
        <w:tc>
          <w:tcPr/>
          <w:p>
            <w:pPr>
              <w:pStyle w:val="Compact"/>
              <w:jc w:val="right"/>
            </w:pPr>
            <w:r>
              <w:rPr>
                <w:lang w:val="en-US"/>
              </w:rPr>
              <w:t xml:space="preserve">0.01</w:t>
            </w:r>
          </w:p>
        </w:tc>
        <w:tc>
          <w:tcPr/>
          <w:p>
            <w:pPr>
              <w:pStyle w:val="Compact"/>
              <w:jc w:val="right"/>
            </w:pPr>
            <w:r>
              <w:rPr>
                <w:lang w:val="en-US"/>
              </w:rPr>
              <w:t xml:space="preserve">54.5% / 20.3%</w:t>
            </w:r>
          </w:p>
        </w:tc>
        <w:tc>
          <w:tcPr/>
          <w:p>
            <w:pPr>
              <w:pStyle w:val="Compact"/>
              <w:jc w:val="right"/>
            </w:pPr>
            <w:r>
              <w:rPr>
                <w:lang w:val="en-US"/>
              </w:rPr>
              <w:t xml:space="preserve">0.18% (0.02)</w:t>
            </w:r>
          </w:p>
        </w:tc>
        <w:tc>
          <w:tcPr/>
          <w:p>
            <w:pPr>
              <w:pStyle w:val="Compact"/>
              <w:jc w:val="right"/>
            </w:pPr>
            <w:r>
              <w:rPr>
                <w:lang w:val="en-US"/>
              </w:rPr>
              <w:t xml:space="preserve">213 / 120,367</w:t>
            </w:r>
          </w:p>
        </w:tc>
        <w:tc>
          <w:tcPr/>
          <w:p>
            <w:pPr>
              <w:pStyle w:val="Compact"/>
              <w:jc w:val="right"/>
            </w:pPr>
            <w:r>
              <w:rPr>
                <w:lang w:val="en-US"/>
              </w:rPr>
              <w:t xml:space="preserve">0.00% (0.00)</w:t>
            </w:r>
          </w:p>
        </w:tc>
        <w:tc>
          <w:tcPr/>
          <w:p>
            <w:pPr>
              <w:pStyle w:val="Compact"/>
              <w:jc w:val="right"/>
            </w:pPr>
            <w:r>
              <w:rPr>
                <w:lang w:val="en-US"/>
              </w:rPr>
              <w:t xml:space="preserve">45.5% / 78.3%</w:t>
            </w:r>
          </w:p>
        </w:tc>
        <w:tc>
          <w:tcPr/>
          <w:p>
            <w:pPr>
              <w:pStyle w:val="Compact"/>
              <w:jc w:val="left"/>
            </w:pPr>
            <w:r>
              <w:rPr>
                <w:lang w:val="en-US"/>
              </w:rPr>
              <w:t xml:space="preserve">Yes</w:t>
            </w:r>
          </w:p>
        </w:tc>
      </w:tr>
      <w:tr>
        <w:tc>
          <w:tcPr/>
          <w:p>
            <w:pPr>
              <w:pStyle w:val="Compact"/>
              <w:jc w:val="left"/>
            </w:pPr>
            <w:r>
              <w:rPr>
                <w:lang w:val="en-US"/>
              </w:rPr>
              <w:t xml:space="preserve">50</w:t>
            </w:r>
          </w:p>
        </w:tc>
        <w:tc>
          <w:tcPr/>
          <w:p>
            <w:pPr>
              <w:pStyle w:val="Compact"/>
              <w:jc w:val="right"/>
            </w:pPr>
            <w:r>
              <w:rPr>
                <w:lang w:val="en-US"/>
              </w:rPr>
              <w:t xml:space="preserve">0.005</w:t>
            </w:r>
          </w:p>
        </w:tc>
        <w:tc>
          <w:tcPr/>
          <w:p>
            <w:pPr>
              <w:pStyle w:val="Compact"/>
              <w:jc w:val="right"/>
            </w:pPr>
            <w:r>
              <w:rPr>
                <w:lang w:val="en-US"/>
              </w:rPr>
              <w:t xml:space="preserve">0.05</w:t>
            </w:r>
          </w:p>
        </w:tc>
        <w:tc>
          <w:tcPr/>
          <w:p>
            <w:pPr>
              <w:pStyle w:val="Compact"/>
              <w:jc w:val="right"/>
            </w:pPr>
            <w:r>
              <w:rPr>
                <w:lang w:val="en-US"/>
              </w:rPr>
              <w:t xml:space="preserve">54.5% / 15.3%</w:t>
            </w:r>
          </w:p>
        </w:tc>
        <w:tc>
          <w:tcPr/>
          <w:p>
            <w:pPr>
              <w:pStyle w:val="Compact"/>
              <w:jc w:val="right"/>
            </w:pPr>
            <w:r>
              <w:rPr>
                <w:lang w:val="en-US"/>
              </w:rPr>
              <w:t xml:space="preserve">0.18% (0.02)</w:t>
            </w:r>
          </w:p>
        </w:tc>
        <w:tc>
          <w:tcPr/>
          <w:p>
            <w:pPr>
              <w:pStyle w:val="Compact"/>
              <w:jc w:val="right"/>
            </w:pPr>
            <w:r>
              <w:rPr>
                <w:lang w:val="en-US"/>
              </w:rPr>
              <w:t xml:space="preserve">213 / 120,367</w:t>
            </w:r>
          </w:p>
        </w:tc>
        <w:tc>
          <w:tcPr/>
          <w:p>
            <w:pPr>
              <w:pStyle w:val="Compact"/>
              <w:jc w:val="right"/>
            </w:pPr>
            <w:r>
              <w:rPr>
                <w:lang w:val="en-US"/>
              </w:rPr>
              <w:t xml:space="preserve">0.00% (0.00)</w:t>
            </w:r>
          </w:p>
        </w:tc>
        <w:tc>
          <w:tcPr/>
          <w:p>
            <w:pPr>
              <w:pStyle w:val="Compact"/>
              <w:jc w:val="right"/>
            </w:pPr>
            <w:r>
              <w:rPr>
                <w:lang w:val="en-US"/>
              </w:rPr>
              <w:t xml:space="preserve">45.5% / 83.1%</w:t>
            </w:r>
          </w:p>
        </w:tc>
        <w:tc>
          <w:tcPr/>
          <w:p>
            <w:pPr>
              <w:pStyle w:val="Compact"/>
              <w:jc w:val="left"/>
            </w:pPr>
            <w:r>
              <w:rPr>
                <w:lang w:val="en-US"/>
              </w:rPr>
              <w:t xml:space="preserve">Yes</w:t>
            </w:r>
          </w:p>
        </w:tc>
      </w:tr>
      <w:tr>
        <w:tc>
          <w:tcPr/>
          <w:p>
            <w:pPr>
              <w:pStyle w:val="Compact"/>
              <w:jc w:val="left"/>
            </w:pPr>
            <w:r>
              <w:rPr>
                <w:lang w:val="en-US"/>
              </w:rPr>
              <w:t xml:space="preserve">50</w:t>
            </w:r>
          </w:p>
        </w:tc>
        <w:tc>
          <w:tcPr/>
          <w:p>
            <w:pPr>
              <w:pStyle w:val="Compact"/>
              <w:jc w:val="right"/>
            </w:pPr>
            <w:r>
              <w:rPr>
                <w:lang w:val="en-US"/>
              </w:rPr>
              <w:t xml:space="preserve">0.005</w:t>
            </w:r>
          </w:p>
        </w:tc>
        <w:tc>
          <w:tcPr/>
          <w:p>
            <w:pPr>
              <w:pStyle w:val="Compact"/>
              <w:jc w:val="right"/>
            </w:pPr>
            <w:r>
              <w:rPr>
                <w:lang w:val="en-US"/>
              </w:rPr>
              <w:t xml:space="preserve">0.25</w:t>
            </w:r>
          </w:p>
        </w:tc>
        <w:tc>
          <w:tcPr/>
          <w:p>
            <w:pPr>
              <w:pStyle w:val="Compact"/>
              <w:jc w:val="right"/>
            </w:pPr>
            <w:r>
              <w:rPr>
                <w:lang w:val="en-US"/>
              </w:rPr>
              <w:t xml:space="preserve">54.5% / 1.5%</w:t>
            </w:r>
          </w:p>
        </w:tc>
        <w:tc>
          <w:tcPr/>
          <w:p>
            <w:pPr>
              <w:pStyle w:val="Compact"/>
              <w:jc w:val="right"/>
            </w:pPr>
            <w:r>
              <w:rPr>
                <w:lang w:val="en-US"/>
              </w:rPr>
              <w:t xml:space="preserve">0.18% (0.02)</w:t>
            </w:r>
          </w:p>
        </w:tc>
        <w:tc>
          <w:tcPr/>
          <w:p>
            <w:pPr>
              <w:pStyle w:val="Compact"/>
              <w:jc w:val="right"/>
            </w:pPr>
            <w:r>
              <w:rPr>
                <w:lang w:val="en-US"/>
              </w:rPr>
              <w:t xml:space="preserve">213 / 120,367</w:t>
            </w:r>
          </w:p>
        </w:tc>
        <w:tc>
          <w:tcPr/>
          <w:p>
            <w:pPr>
              <w:pStyle w:val="Compact"/>
              <w:jc w:val="right"/>
            </w:pPr>
            <w:r>
              <w:rPr>
                <w:lang w:val="en-US"/>
              </w:rPr>
              <w:t xml:space="preserve">0.00% (0.00)</w:t>
            </w:r>
          </w:p>
        </w:tc>
        <w:tc>
          <w:tcPr/>
          <w:p>
            <w:pPr>
              <w:pStyle w:val="Compact"/>
              <w:jc w:val="right"/>
            </w:pPr>
            <w:r>
              <w:rPr>
                <w:lang w:val="en-US"/>
              </w:rPr>
              <w:t xml:space="preserve">45.5% / 98.3%</w:t>
            </w:r>
          </w:p>
        </w:tc>
        <w:tc>
          <w:tcPr/>
          <w:p>
            <w:pPr>
              <w:pStyle w:val="Compact"/>
              <w:jc w:val="left"/>
            </w:pPr>
            <w:r>
              <w:rPr>
                <w:lang w:val="en-US"/>
              </w:rPr>
              <w:t xml:space="preserve">Yes</w:t>
            </w:r>
          </w:p>
        </w:tc>
      </w:tr>
      <w:tr>
        <w:tc>
          <w:tcPr/>
          <w:p>
            <w:pPr>
              <w:pStyle w:val="Compact"/>
              <w:jc w:val="left"/>
            </w:pPr>
            <w:r>
              <w:rPr>
                <w:lang w:val="en-US"/>
              </w:rPr>
              <w:t xml:space="preserve">50</w:t>
            </w:r>
          </w:p>
        </w:tc>
        <w:tc>
          <w:tcPr/>
          <w:p>
            <w:pPr>
              <w:pStyle w:val="Compact"/>
              <w:jc w:val="right"/>
            </w:pPr>
            <w:r>
              <w:rPr>
                <w:lang w:val="en-US"/>
              </w:rPr>
              <w:t xml:space="preserve">0.01</w:t>
            </w:r>
          </w:p>
        </w:tc>
        <w:tc>
          <w:tcPr/>
          <w:p>
            <w:pPr>
              <w:pStyle w:val="Compact"/>
              <w:jc w:val="right"/>
            </w:pPr>
            <w:r>
              <w:rPr>
                <w:lang w:val="en-US"/>
              </w:rPr>
              <w:t xml:space="preserve">0.01</w:t>
            </w:r>
          </w:p>
        </w:tc>
        <w:tc>
          <w:tcPr/>
          <w:p>
            <w:pPr>
              <w:pStyle w:val="Compact"/>
              <w:jc w:val="right"/>
            </w:pPr>
            <w:r>
              <w:rPr>
                <w:lang w:val="en-US"/>
              </w:rPr>
              <w:t xml:space="preserve">52.7% / 13.6%</w:t>
            </w:r>
          </w:p>
        </w:tc>
        <w:tc>
          <w:tcPr/>
          <w:p>
            <w:pPr>
              <w:pStyle w:val="Compact"/>
              <w:jc w:val="right"/>
            </w:pPr>
            <w:r>
              <w:rPr>
                <w:lang w:val="en-US"/>
              </w:rPr>
              <w:t xml:space="preserve">0.08% (0.01)</w:t>
            </w:r>
          </w:p>
        </w:tc>
        <w:tc>
          <w:tcPr/>
          <w:p>
            <w:pPr>
              <w:pStyle w:val="Compact"/>
              <w:jc w:val="right"/>
            </w:pPr>
            <w:r>
              <w:rPr>
                <w:lang w:val="en-US"/>
              </w:rPr>
              <w:t xml:space="preserve">95 / 116,526</w:t>
            </w:r>
          </w:p>
        </w:tc>
        <w:tc>
          <w:tcPr/>
          <w:p>
            <w:pPr>
              <w:pStyle w:val="Compact"/>
              <w:jc w:val="right"/>
            </w:pPr>
            <w:r>
              <w:rPr>
                <w:lang w:val="en-US"/>
              </w:rPr>
              <w:t xml:space="preserve">0.00% (0.00)</w:t>
            </w:r>
          </w:p>
        </w:tc>
        <w:tc>
          <w:tcPr/>
          <w:p>
            <w:pPr>
              <w:pStyle w:val="Compact"/>
              <w:jc w:val="right"/>
            </w:pPr>
            <w:r>
              <w:rPr>
                <w:lang w:val="en-US"/>
              </w:rPr>
              <w:t xml:space="preserve">47.2% / 85.5%</w:t>
            </w:r>
          </w:p>
        </w:tc>
        <w:tc>
          <w:tcPr/>
          <w:p>
            <w:pPr>
              <w:pStyle w:val="Compact"/>
              <w:jc w:val="left"/>
            </w:pPr>
            <w:r>
              <w:rPr>
                <w:lang w:val="en-US"/>
              </w:rPr>
              <w:t xml:space="preserve">Yes</w:t>
            </w:r>
          </w:p>
        </w:tc>
      </w:tr>
      <w:tr>
        <w:tc>
          <w:tcPr/>
          <w:p>
            <w:pPr>
              <w:pStyle w:val="Compact"/>
              <w:jc w:val="left"/>
            </w:pPr>
            <w:r>
              <w:rPr>
                <w:lang w:val="en-US"/>
              </w:rPr>
              <w:t xml:space="preserve">50</w:t>
            </w:r>
          </w:p>
        </w:tc>
        <w:tc>
          <w:tcPr/>
          <w:p>
            <w:pPr>
              <w:pStyle w:val="Compact"/>
              <w:jc w:val="right"/>
            </w:pPr>
            <w:r>
              <w:rPr>
                <w:lang w:val="en-US"/>
              </w:rPr>
              <w:t xml:space="preserve">0.01</w:t>
            </w:r>
          </w:p>
        </w:tc>
        <w:tc>
          <w:tcPr/>
          <w:p>
            <w:pPr>
              <w:pStyle w:val="Compact"/>
              <w:jc w:val="right"/>
            </w:pPr>
            <w:r>
              <w:rPr>
                <w:lang w:val="en-US"/>
              </w:rPr>
              <w:t xml:space="preserve">0.05</w:t>
            </w:r>
          </w:p>
        </w:tc>
        <w:tc>
          <w:tcPr/>
          <w:p>
            <w:pPr>
              <w:pStyle w:val="Compact"/>
              <w:jc w:val="right"/>
            </w:pPr>
            <w:r>
              <w:rPr>
                <w:lang w:val="en-US"/>
              </w:rPr>
              <w:t xml:space="preserve">52.7% / 10.6%</w:t>
            </w:r>
          </w:p>
        </w:tc>
        <w:tc>
          <w:tcPr/>
          <w:p>
            <w:pPr>
              <w:pStyle w:val="Compact"/>
              <w:jc w:val="right"/>
            </w:pPr>
            <w:r>
              <w:rPr>
                <w:lang w:val="en-US"/>
              </w:rPr>
              <w:t xml:space="preserve">0.08% (0.01)</w:t>
            </w:r>
          </w:p>
        </w:tc>
        <w:tc>
          <w:tcPr/>
          <w:p>
            <w:pPr>
              <w:pStyle w:val="Compact"/>
              <w:jc w:val="right"/>
            </w:pPr>
            <w:r>
              <w:rPr>
                <w:lang w:val="en-US"/>
              </w:rPr>
              <w:t xml:space="preserve">95 / 116,526</w:t>
            </w:r>
          </w:p>
        </w:tc>
        <w:tc>
          <w:tcPr/>
          <w:p>
            <w:pPr>
              <w:pStyle w:val="Compact"/>
              <w:jc w:val="right"/>
            </w:pPr>
            <w:r>
              <w:rPr>
                <w:lang w:val="en-US"/>
              </w:rPr>
              <w:t xml:space="preserve">0.00% (0.00)</w:t>
            </w:r>
          </w:p>
        </w:tc>
        <w:tc>
          <w:tcPr/>
          <w:p>
            <w:pPr>
              <w:pStyle w:val="Compact"/>
              <w:jc w:val="right"/>
            </w:pPr>
            <w:r>
              <w:rPr>
                <w:lang w:val="en-US"/>
              </w:rPr>
              <w:t xml:space="preserve">47.2% / 88.3%</w:t>
            </w:r>
          </w:p>
        </w:tc>
        <w:tc>
          <w:tcPr/>
          <w:p>
            <w:pPr>
              <w:pStyle w:val="Compact"/>
              <w:jc w:val="left"/>
            </w:pPr>
            <w:r>
              <w:rPr>
                <w:lang w:val="en-US"/>
              </w:rPr>
              <w:t xml:space="preserve">Yes</w:t>
            </w:r>
          </w:p>
        </w:tc>
      </w:tr>
      <w:tr>
        <w:tc>
          <w:tcPr/>
          <w:p>
            <w:pPr>
              <w:pStyle w:val="Compact"/>
              <w:jc w:val="left"/>
            </w:pPr>
            <w:r>
              <w:rPr>
                <w:lang w:val="en-US"/>
              </w:rPr>
              <w:t xml:space="preserve">50</w:t>
            </w:r>
          </w:p>
        </w:tc>
        <w:tc>
          <w:tcPr/>
          <w:p>
            <w:pPr>
              <w:pStyle w:val="Compact"/>
              <w:jc w:val="right"/>
            </w:pPr>
            <w:r>
              <w:rPr>
                <w:lang w:val="en-US"/>
              </w:rPr>
              <w:t xml:space="preserve">0.01</w:t>
            </w:r>
          </w:p>
        </w:tc>
        <w:tc>
          <w:tcPr/>
          <w:p>
            <w:pPr>
              <w:pStyle w:val="Compact"/>
              <w:jc w:val="right"/>
            </w:pPr>
            <w:r>
              <w:rPr>
                <w:lang w:val="en-US"/>
              </w:rPr>
              <w:t xml:space="preserve">0.25</w:t>
            </w:r>
          </w:p>
        </w:tc>
        <w:tc>
          <w:tcPr/>
          <w:p>
            <w:pPr>
              <w:pStyle w:val="Compact"/>
              <w:jc w:val="right"/>
            </w:pPr>
            <w:r>
              <w:rPr>
                <w:lang w:val="en-US"/>
              </w:rPr>
              <w:t xml:space="preserve">52.7% / 1.4%</w:t>
            </w:r>
          </w:p>
        </w:tc>
        <w:tc>
          <w:tcPr/>
          <w:p>
            <w:pPr>
              <w:pStyle w:val="Compact"/>
              <w:jc w:val="right"/>
            </w:pPr>
            <w:r>
              <w:rPr>
                <w:lang w:val="en-US"/>
              </w:rPr>
              <w:t xml:space="preserve">0.08% (0.01)</w:t>
            </w:r>
          </w:p>
        </w:tc>
        <w:tc>
          <w:tcPr/>
          <w:p>
            <w:pPr>
              <w:pStyle w:val="Compact"/>
              <w:jc w:val="right"/>
            </w:pPr>
            <w:r>
              <w:rPr>
                <w:lang w:val="en-US"/>
              </w:rPr>
              <w:t xml:space="preserve">95 / 116,526</w:t>
            </w:r>
          </w:p>
        </w:tc>
        <w:tc>
          <w:tcPr/>
          <w:p>
            <w:pPr>
              <w:pStyle w:val="Compact"/>
              <w:jc w:val="right"/>
            </w:pPr>
            <w:r>
              <w:rPr>
                <w:lang w:val="en-US"/>
              </w:rPr>
              <w:t xml:space="preserve">0.00% (0.00)</w:t>
            </w:r>
          </w:p>
        </w:tc>
        <w:tc>
          <w:tcPr/>
          <w:p>
            <w:pPr>
              <w:pStyle w:val="Compact"/>
              <w:jc w:val="right"/>
            </w:pPr>
            <w:r>
              <w:rPr>
                <w:lang w:val="en-US"/>
              </w:rPr>
              <w:t xml:space="preserve">47.2% / 98.5%</w:t>
            </w:r>
          </w:p>
        </w:tc>
        <w:tc>
          <w:tcPr/>
          <w:p>
            <w:pPr>
              <w:pStyle w:val="Compact"/>
              <w:jc w:val="left"/>
            </w:pPr>
            <w:r>
              <w:rPr>
                <w:lang w:val="en-US"/>
              </w:rPr>
              <w:t xml:space="preserve">Yes</w:t>
            </w:r>
          </w:p>
        </w:tc>
      </w:tr>
      <w:tr>
        <w:tc>
          <w:tcPr/>
          <w:p>
            <w:pPr>
              <w:pStyle w:val="Compact"/>
              <w:jc w:val="left"/>
            </w:pPr>
            <w:r>
              <w:rPr>
                <w:lang w:val="en-US"/>
              </w:rPr>
              <w:t xml:space="preserve">50</w:t>
            </w:r>
          </w:p>
        </w:tc>
        <w:tc>
          <w:tcPr/>
          <w:p>
            <w:pPr>
              <w:pStyle w:val="Compact"/>
              <w:jc w:val="right"/>
            </w:pPr>
            <w:r>
              <w:rPr>
                <w:lang w:val="en-US"/>
              </w:rPr>
              <w:t xml:space="preserve">0.05</w:t>
            </w:r>
          </w:p>
        </w:tc>
        <w:tc>
          <w:tcPr/>
          <w:p>
            <w:pPr>
              <w:pStyle w:val="Compact"/>
              <w:jc w:val="right"/>
            </w:pPr>
            <w:r>
              <w:rPr>
                <w:lang w:val="en-US"/>
              </w:rPr>
              <w:t xml:space="preserve">0.01</w:t>
            </w:r>
          </w:p>
        </w:tc>
        <w:tc>
          <w:tcPr/>
          <w:p>
            <w:pPr>
              <w:pStyle w:val="Compact"/>
              <w:jc w:val="right"/>
            </w:pPr>
            <w:r>
              <w:rPr>
                <w:lang w:val="en-US"/>
              </w:rPr>
              <w:t xml:space="preserve">48.3% / 0.0%</w:t>
            </w:r>
          </w:p>
        </w:tc>
        <w:tc>
          <w:tcPr/>
          <w:p>
            <w:pPr>
              <w:pStyle w:val="Compact"/>
              <w:jc w:val="right"/>
            </w:pPr>
            <w:r>
              <w:rPr>
                <w:lang w:val="en-US"/>
              </w:rPr>
              <w:t xml:space="preserve">1.95% (0.08)</w:t>
            </w:r>
          </w:p>
        </w:tc>
        <w:tc>
          <w:tcPr/>
          <w:p>
            <w:pPr>
              <w:pStyle w:val="Compact"/>
              <w:jc w:val="right"/>
            </w:pPr>
            <w:r>
              <w:rPr>
                <w:lang w:val="en-US"/>
              </w:rPr>
              <w:t xml:space="preserve">2,063 / 106,794</w:t>
            </w:r>
          </w:p>
        </w:tc>
        <w:tc>
          <w:tcPr/>
          <w:p>
            <w:pPr>
              <w:pStyle w:val="Compact"/>
              <w:jc w:val="right"/>
            </w:pPr>
            <w:r>
              <w:rPr>
                <w:lang w:val="en-US"/>
              </w:rPr>
              <w:t xml:space="preserve">—</w:t>
            </w:r>
          </w:p>
        </w:tc>
        <w:tc>
          <w:tcPr/>
          <w:p>
            <w:pPr>
              <w:pStyle w:val="Compact"/>
              <w:jc w:val="right"/>
            </w:pPr>
            <w:r>
              <w:rPr>
                <w:lang w:val="en-US"/>
              </w:rPr>
              <w:t xml:space="preserve">51.6% / 100.0%</w:t>
            </w:r>
          </w:p>
        </w:tc>
        <w:tc>
          <w:tcPr/>
          <w:p>
            <w:pPr>
              <w:pStyle w:val="Compact"/>
              <w:jc w:val="left"/>
            </w:pPr>
            <w:r>
              <w:rPr>
                <w:lang w:val="en-US"/>
              </w:rPr>
              <w:t xml:space="preserve">No</w:t>
            </w:r>
          </w:p>
        </w:tc>
      </w:tr>
      <w:tr>
        <w:tc>
          <w:tcPr/>
          <w:p>
            <w:pPr>
              <w:pStyle w:val="Compact"/>
              <w:jc w:val="left"/>
            </w:pPr>
            <w:r>
              <w:rPr>
                <w:lang w:val="en-US"/>
              </w:rPr>
              <w:t xml:space="preserve">50</w:t>
            </w:r>
          </w:p>
        </w:tc>
        <w:tc>
          <w:tcPr/>
          <w:p>
            <w:pPr>
              <w:pStyle w:val="Compact"/>
              <w:jc w:val="right"/>
            </w:pPr>
            <w:r>
              <w:rPr>
                <w:lang w:val="en-US"/>
              </w:rPr>
              <w:t xml:space="preserve">0.05</w:t>
            </w:r>
          </w:p>
        </w:tc>
        <w:tc>
          <w:tcPr/>
          <w:p>
            <w:pPr>
              <w:pStyle w:val="Compact"/>
              <w:jc w:val="right"/>
            </w:pPr>
            <w:r>
              <w:rPr>
                <w:lang w:val="en-US"/>
              </w:rPr>
              <w:t xml:space="preserve">0.05</w:t>
            </w:r>
          </w:p>
        </w:tc>
        <w:tc>
          <w:tcPr/>
          <w:p>
            <w:pPr>
              <w:pStyle w:val="Compact"/>
              <w:jc w:val="right"/>
            </w:pPr>
            <w:r>
              <w:rPr>
                <w:lang w:val="en-US"/>
              </w:rPr>
              <w:t xml:space="preserve">48.3% / 0.0%</w:t>
            </w:r>
          </w:p>
        </w:tc>
        <w:tc>
          <w:tcPr/>
          <w:p>
            <w:pPr>
              <w:pStyle w:val="Compact"/>
              <w:jc w:val="right"/>
            </w:pPr>
            <w:r>
              <w:rPr>
                <w:lang w:val="en-US"/>
              </w:rPr>
              <w:t xml:space="preserve">1.95% (0.08)</w:t>
            </w:r>
          </w:p>
        </w:tc>
        <w:tc>
          <w:tcPr/>
          <w:p>
            <w:pPr>
              <w:pStyle w:val="Compact"/>
              <w:jc w:val="right"/>
            </w:pPr>
            <w:r>
              <w:rPr>
                <w:lang w:val="en-US"/>
              </w:rPr>
              <w:t xml:space="preserve">2,063 / 106,794</w:t>
            </w:r>
          </w:p>
        </w:tc>
        <w:tc>
          <w:tcPr/>
          <w:p>
            <w:pPr>
              <w:pStyle w:val="Compact"/>
              <w:jc w:val="right"/>
            </w:pPr>
            <w:r>
              <w:rPr>
                <w:lang w:val="en-US"/>
              </w:rPr>
              <w:t xml:space="preserve">—</w:t>
            </w:r>
          </w:p>
        </w:tc>
        <w:tc>
          <w:tcPr/>
          <w:p>
            <w:pPr>
              <w:pStyle w:val="Compact"/>
              <w:jc w:val="right"/>
            </w:pPr>
            <w:r>
              <w:rPr>
                <w:lang w:val="en-US"/>
              </w:rPr>
              <w:t xml:space="preserve">51.6% / 100.0%</w:t>
            </w:r>
          </w:p>
        </w:tc>
        <w:tc>
          <w:tcPr/>
          <w:p>
            <w:pPr>
              <w:pStyle w:val="Compact"/>
              <w:jc w:val="left"/>
            </w:pPr>
            <w:r>
              <w:rPr>
                <w:lang w:val="en-US"/>
              </w:rPr>
              <w:t xml:space="preserve">No</w:t>
            </w:r>
          </w:p>
        </w:tc>
      </w:tr>
      <w:tr>
        <w:tc>
          <w:tcPr/>
          <w:p>
            <w:pPr>
              <w:pStyle w:val="Compact"/>
              <w:jc w:val="left"/>
            </w:pPr>
            <w:r>
              <w:rPr>
                <w:lang w:val="en-US"/>
              </w:rPr>
              <w:t xml:space="preserve">50</w:t>
            </w:r>
          </w:p>
        </w:tc>
        <w:tc>
          <w:tcPr/>
          <w:p>
            <w:pPr>
              <w:pStyle w:val="Compact"/>
              <w:jc w:val="right"/>
            </w:pPr>
            <w:r>
              <w:rPr>
                <w:lang w:val="en-US"/>
              </w:rPr>
              <w:t xml:space="preserve">0.05</w:t>
            </w:r>
          </w:p>
        </w:tc>
        <w:tc>
          <w:tcPr/>
          <w:p>
            <w:pPr>
              <w:pStyle w:val="Compact"/>
              <w:jc w:val="right"/>
            </w:pPr>
            <w:r>
              <w:rPr>
                <w:lang w:val="en-US"/>
              </w:rPr>
              <w:t xml:space="preserve">0.25</w:t>
            </w:r>
          </w:p>
        </w:tc>
        <w:tc>
          <w:tcPr/>
          <w:p>
            <w:pPr>
              <w:pStyle w:val="Compact"/>
              <w:jc w:val="right"/>
            </w:pPr>
            <w:r>
              <w:rPr>
                <w:lang w:val="en-US"/>
              </w:rPr>
              <w:t xml:space="preserve">48.3% / 0.0%</w:t>
            </w:r>
          </w:p>
        </w:tc>
        <w:tc>
          <w:tcPr/>
          <w:p>
            <w:pPr>
              <w:pStyle w:val="Compact"/>
              <w:jc w:val="right"/>
            </w:pPr>
            <w:r>
              <w:rPr>
                <w:lang w:val="en-US"/>
              </w:rPr>
              <w:t xml:space="preserve">1.95% (0.08)</w:t>
            </w:r>
          </w:p>
        </w:tc>
        <w:tc>
          <w:tcPr/>
          <w:p>
            <w:pPr>
              <w:pStyle w:val="Compact"/>
              <w:jc w:val="right"/>
            </w:pPr>
            <w:r>
              <w:rPr>
                <w:lang w:val="en-US"/>
              </w:rPr>
              <w:t xml:space="preserve">2,063 / 106,794</w:t>
            </w:r>
          </w:p>
        </w:tc>
        <w:tc>
          <w:tcPr/>
          <w:p>
            <w:pPr>
              <w:pStyle w:val="Compact"/>
              <w:jc w:val="right"/>
            </w:pPr>
            <w:r>
              <w:rPr>
                <w:lang w:val="en-US"/>
              </w:rPr>
              <w:t xml:space="preserve">—</w:t>
            </w:r>
          </w:p>
        </w:tc>
        <w:tc>
          <w:tcPr/>
          <w:p>
            <w:pPr>
              <w:pStyle w:val="Compact"/>
              <w:jc w:val="right"/>
            </w:pPr>
            <w:r>
              <w:rPr>
                <w:lang w:val="en-US"/>
              </w:rPr>
              <w:t xml:space="preserve">51.6% / 100.0%</w:t>
            </w:r>
          </w:p>
        </w:tc>
        <w:tc>
          <w:tcPr/>
          <w:p>
            <w:pPr>
              <w:pStyle w:val="Compact"/>
              <w:jc w:val="left"/>
            </w:pPr>
            <w:r>
              <w:rPr>
                <w:lang w:val="en-US"/>
              </w:rPr>
              <w:t xml:space="preserve">No</w:t>
            </w:r>
          </w:p>
        </w:tc>
      </w:tr>
    </w:tbl>
    <w:p>
      <w:pPr>
        <w:pStyle w:val="BodyText"/>
      </w:pPr>
      <w:r>
        <w:rPr>
          <w:b/>
          <w:bCs/>
          <w:lang w:val="en-US"/>
        </w:rPr>
        <w:t xml:space="preserve">Table C4.</w:t>
      </w:r>
      <w:r>
        <w:rPr>
          <w:lang w:val="en-US"/>
        </w:rPr>
        <w:t xml:space="preserve"> </w:t>
      </w:r>
      <w:r>
        <w:rPr>
          <w:lang w:val="en-US"/>
        </w:rPr>
        <w:t xml:space="preserve">Stress scenario in the design of Section 7.9: the call midpoint is shifted by 1.5 times the half-spread before quoting. Decided is the share of all pairs given an order. Wrong among decided is the wrong-order share of decided truly ordered pairs. False exclusion is the share of truly ordered pairs left undecided. Quote misses true premium is the share of names whose quoted call or put interval excludes the true premium, at baseline and under stress. Tick and half-spread are in price units. Dashes mark a method that made no decisions. Baseline decisions and errors are in Table C3; MCSE for these rows is in the companion CSV.</w:t>
      </w:r>
    </w:p>
    <w:tbl>
      <w:tblPr>
        <w:tblStyle w:val="Table"/>
        <w:tblW w:type="pct" w:w="5000"/>
        <w:tblBorders>
          <w:top w:val="single" w:sz="4" w:space="0" w:color="AEBBC8"/>
          <w:left w:val="single" w:sz="4" w:space="0" w:color="AEBBC8"/>
          <w:bottom w:val="single" w:sz="4" w:space="0" w:color="AEBBC8"/>
          <w:right w:val="single" w:sz="4" w:space="0" w:color="AEBBC8"/>
          <w:insideH w:val="single" w:sz="4" w:space="0" w:color="D6DDE5"/>
          <w:insideV w:val="single" w:sz="4" w:space="0" w:color="D6DDE5"/>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lang w:val="en-US"/>
              </w:rPr>
              <w:t xml:space="preserve">n</w:t>
            </w:r>
          </w:p>
        </w:tc>
        <w:tc>
          <w:tcPr/>
          <w:p>
            <w:pPr>
              <w:pStyle w:val="Compact"/>
              <w:jc w:val="right"/>
            </w:pPr>
            <w:r>
              <w:rPr>
                <w:lang w:val="en-US"/>
              </w:rPr>
              <w:t xml:space="preserve">Tick</w:t>
            </w:r>
          </w:p>
        </w:tc>
        <w:tc>
          <w:tcPr/>
          <w:p>
            <w:pPr>
              <w:pStyle w:val="Compact"/>
              <w:jc w:val="right"/>
            </w:pPr>
            <w:r>
              <w:rPr>
                <w:lang w:val="en-US"/>
              </w:rPr>
              <w:t xml:space="preserve">Half-spread</w:t>
            </w:r>
          </w:p>
        </w:tc>
        <w:tc>
          <w:tcPr/>
          <w:p>
            <w:pPr>
              <w:pStyle w:val="Compact"/>
              <w:jc w:val="right"/>
            </w:pPr>
            <w:r>
              <w:rPr>
                <w:lang w:val="en-US"/>
              </w:rPr>
              <w:t xml:space="preserve">Decided, E0 / E2</w:t>
            </w:r>
          </w:p>
        </w:tc>
        <w:tc>
          <w:tcPr/>
          <w:p>
            <w:pPr>
              <w:pStyle w:val="Compact"/>
              <w:jc w:val="right"/>
            </w:pPr>
            <w:r>
              <w:rPr>
                <w:lang w:val="en-US"/>
              </w:rPr>
              <w:t xml:space="preserve">Wrong among decided, E0 / E2</w:t>
            </w:r>
          </w:p>
        </w:tc>
        <w:tc>
          <w:tcPr/>
          <w:p>
            <w:pPr>
              <w:pStyle w:val="Compact"/>
              <w:jc w:val="right"/>
            </w:pPr>
            <w:r>
              <w:rPr>
                <w:lang w:val="en-US"/>
              </w:rPr>
              <w:t xml:space="preserve">False exclusion, E0 / E2</w:t>
            </w:r>
          </w:p>
        </w:tc>
        <w:tc>
          <w:tcPr/>
          <w:p>
            <w:pPr>
              <w:pStyle w:val="Compact"/>
              <w:jc w:val="right"/>
            </w:pPr>
            <w:r>
              <w:rPr>
                <w:lang w:val="en-US"/>
              </w:rPr>
              <w:t xml:space="preserve">Quote misses true premium, baseline / stress</w:t>
            </w:r>
          </w:p>
        </w:tc>
      </w:tr>
      <w:tr>
        <w:tc>
          <w:tcPr/>
          <w:p>
            <w:pPr>
              <w:pStyle w:val="Compact"/>
              <w:jc w:val="left"/>
            </w:pPr>
            <w:r>
              <w:rPr>
                <w:lang w:val="en-US"/>
              </w:rPr>
              <w:t xml:space="preserve">10</w:t>
            </w:r>
          </w:p>
        </w:tc>
        <w:tc>
          <w:tcPr/>
          <w:p>
            <w:pPr>
              <w:pStyle w:val="Compact"/>
              <w:jc w:val="right"/>
            </w:pPr>
            <w:r>
              <w:rPr>
                <w:lang w:val="en-US"/>
              </w:rPr>
              <w:t xml:space="preserve">0.005</w:t>
            </w:r>
          </w:p>
        </w:tc>
        <w:tc>
          <w:tcPr/>
          <w:p>
            <w:pPr>
              <w:pStyle w:val="Compact"/>
              <w:jc w:val="right"/>
            </w:pPr>
            <w:r>
              <w:rPr>
                <w:lang w:val="en-US"/>
              </w:rPr>
              <w:t xml:space="preserve">0.01</w:t>
            </w:r>
          </w:p>
        </w:tc>
        <w:tc>
          <w:tcPr/>
          <w:p>
            <w:pPr>
              <w:pStyle w:val="Compact"/>
              <w:jc w:val="right"/>
            </w:pPr>
            <w:r>
              <w:rPr>
                <w:lang w:val="en-US"/>
              </w:rPr>
              <w:t xml:space="preserve">57.5% / 20.2%</w:t>
            </w:r>
          </w:p>
        </w:tc>
        <w:tc>
          <w:tcPr/>
          <w:p>
            <w:pPr>
              <w:pStyle w:val="Compact"/>
              <w:jc w:val="right"/>
            </w:pPr>
            <w:r>
              <w:rPr>
                <w:lang w:val="en-US"/>
              </w:rPr>
              <w:t xml:space="preserve">4.46% / 0.00%</w:t>
            </w:r>
          </w:p>
        </w:tc>
        <w:tc>
          <w:tcPr/>
          <w:p>
            <w:pPr>
              <w:pStyle w:val="Compact"/>
              <w:jc w:val="right"/>
            </w:pPr>
            <w:r>
              <w:rPr>
                <w:lang w:val="en-US"/>
              </w:rPr>
              <w:t xml:space="preserve">42.8% / 78.3%</w:t>
            </w:r>
          </w:p>
        </w:tc>
        <w:tc>
          <w:tcPr/>
          <w:p>
            <w:pPr>
              <w:pStyle w:val="Compact"/>
              <w:jc w:val="right"/>
            </w:pPr>
            <w:r>
              <w:rPr>
                <w:lang w:val="en-US"/>
              </w:rPr>
              <w:t xml:space="preserve">0.0% / 100.0%</w:t>
            </w:r>
          </w:p>
        </w:tc>
      </w:tr>
      <w:tr>
        <w:tc>
          <w:tcPr/>
          <w:p>
            <w:pPr>
              <w:pStyle w:val="Compact"/>
              <w:jc w:val="left"/>
            </w:pPr>
            <w:r>
              <w:rPr>
                <w:lang w:val="en-US"/>
              </w:rPr>
              <w:t xml:space="preserve">10</w:t>
            </w:r>
          </w:p>
        </w:tc>
        <w:tc>
          <w:tcPr/>
          <w:p>
            <w:pPr>
              <w:pStyle w:val="Compact"/>
              <w:jc w:val="right"/>
            </w:pPr>
            <w:r>
              <w:rPr>
                <w:lang w:val="en-US"/>
              </w:rPr>
              <w:t xml:space="preserve">0.005</w:t>
            </w:r>
          </w:p>
        </w:tc>
        <w:tc>
          <w:tcPr/>
          <w:p>
            <w:pPr>
              <w:pStyle w:val="Compact"/>
              <w:jc w:val="right"/>
            </w:pPr>
            <w:r>
              <w:rPr>
                <w:lang w:val="en-US"/>
              </w:rPr>
              <w:t xml:space="preserve">0.05</w:t>
            </w:r>
          </w:p>
        </w:tc>
        <w:tc>
          <w:tcPr/>
          <w:p>
            <w:pPr>
              <w:pStyle w:val="Compact"/>
              <w:jc w:val="right"/>
            </w:pPr>
            <w:r>
              <w:rPr>
                <w:lang w:val="en-US"/>
              </w:rPr>
              <w:t xml:space="preserve">57.5% / 15.3%</w:t>
            </w:r>
          </w:p>
        </w:tc>
        <w:tc>
          <w:tcPr/>
          <w:p>
            <w:pPr>
              <w:pStyle w:val="Compact"/>
              <w:jc w:val="right"/>
            </w:pPr>
            <w:r>
              <w:rPr>
                <w:lang w:val="en-US"/>
              </w:rPr>
              <w:t xml:space="preserve">11.60% / 0.00%</w:t>
            </w:r>
          </w:p>
        </w:tc>
        <w:tc>
          <w:tcPr/>
          <w:p>
            <w:pPr>
              <w:pStyle w:val="Compact"/>
              <w:jc w:val="right"/>
            </w:pPr>
            <w:r>
              <w:rPr>
                <w:lang w:val="en-US"/>
              </w:rPr>
              <w:t xml:space="preserve">42.8% / 83.0%</w:t>
            </w:r>
          </w:p>
        </w:tc>
        <w:tc>
          <w:tcPr/>
          <w:p>
            <w:pPr>
              <w:pStyle w:val="Compact"/>
              <w:jc w:val="right"/>
            </w:pPr>
            <w:r>
              <w:rPr>
                <w:lang w:val="en-US"/>
              </w:rPr>
              <w:t xml:space="preserve">0.0% / 100.0%</w:t>
            </w:r>
          </w:p>
        </w:tc>
      </w:tr>
      <w:tr>
        <w:tc>
          <w:tcPr/>
          <w:p>
            <w:pPr>
              <w:pStyle w:val="Compact"/>
              <w:jc w:val="left"/>
            </w:pPr>
            <w:r>
              <w:rPr>
                <w:lang w:val="en-US"/>
              </w:rPr>
              <w:t xml:space="preserve">10</w:t>
            </w:r>
          </w:p>
        </w:tc>
        <w:tc>
          <w:tcPr/>
          <w:p>
            <w:pPr>
              <w:pStyle w:val="Compact"/>
              <w:jc w:val="right"/>
            </w:pPr>
            <w:r>
              <w:rPr>
                <w:lang w:val="en-US"/>
              </w:rPr>
              <w:t xml:space="preserve">0.005</w:t>
            </w:r>
          </w:p>
        </w:tc>
        <w:tc>
          <w:tcPr/>
          <w:p>
            <w:pPr>
              <w:pStyle w:val="Compact"/>
              <w:jc w:val="right"/>
            </w:pPr>
            <w:r>
              <w:rPr>
                <w:lang w:val="en-US"/>
              </w:rPr>
              <w:t xml:space="preserve">0.25</w:t>
            </w:r>
          </w:p>
        </w:tc>
        <w:tc>
          <w:tcPr/>
          <w:p>
            <w:pPr>
              <w:pStyle w:val="Compact"/>
              <w:jc w:val="right"/>
            </w:pPr>
            <w:r>
              <w:rPr>
                <w:lang w:val="en-US"/>
              </w:rPr>
              <w:t xml:space="preserve">57.5% / 1.7%</w:t>
            </w:r>
          </w:p>
        </w:tc>
        <w:tc>
          <w:tcPr/>
          <w:p>
            <w:pPr>
              <w:pStyle w:val="Compact"/>
              <w:jc w:val="right"/>
            </w:pPr>
            <w:r>
              <w:rPr>
                <w:lang w:val="en-US"/>
              </w:rPr>
              <w:t xml:space="preserve">28.37% / 0.00%</w:t>
            </w:r>
          </w:p>
        </w:tc>
        <w:tc>
          <w:tcPr/>
          <w:p>
            <w:pPr>
              <w:pStyle w:val="Compact"/>
              <w:jc w:val="right"/>
            </w:pPr>
            <w:r>
              <w:rPr>
                <w:lang w:val="en-US"/>
              </w:rPr>
              <w:t xml:space="preserve">42.8% / 98.1%</w:t>
            </w:r>
          </w:p>
        </w:tc>
        <w:tc>
          <w:tcPr/>
          <w:p>
            <w:pPr>
              <w:pStyle w:val="Compact"/>
              <w:jc w:val="right"/>
            </w:pPr>
            <w:r>
              <w:rPr>
                <w:lang w:val="en-US"/>
              </w:rPr>
              <w:t xml:space="preserve">0.0% / 100.0%</w:t>
            </w:r>
          </w:p>
        </w:tc>
      </w:tr>
      <w:tr>
        <w:tc>
          <w:tcPr/>
          <w:p>
            <w:pPr>
              <w:pStyle w:val="Compact"/>
              <w:jc w:val="left"/>
            </w:pPr>
            <w:r>
              <w:rPr>
                <w:lang w:val="en-US"/>
              </w:rPr>
              <w:t xml:space="preserve">10</w:t>
            </w:r>
          </w:p>
        </w:tc>
        <w:tc>
          <w:tcPr/>
          <w:p>
            <w:pPr>
              <w:pStyle w:val="Compact"/>
              <w:jc w:val="right"/>
            </w:pPr>
            <w:r>
              <w:rPr>
                <w:lang w:val="en-US"/>
              </w:rPr>
              <w:t xml:space="preserve">0.01</w:t>
            </w:r>
          </w:p>
        </w:tc>
        <w:tc>
          <w:tcPr/>
          <w:p>
            <w:pPr>
              <w:pStyle w:val="Compact"/>
              <w:jc w:val="right"/>
            </w:pPr>
            <w:r>
              <w:rPr>
                <w:lang w:val="en-US"/>
              </w:rPr>
              <w:t xml:space="preserve">0.01</w:t>
            </w:r>
          </w:p>
        </w:tc>
        <w:tc>
          <w:tcPr/>
          <w:p>
            <w:pPr>
              <w:pStyle w:val="Compact"/>
              <w:jc w:val="right"/>
            </w:pPr>
            <w:r>
              <w:rPr>
                <w:lang w:val="en-US"/>
              </w:rPr>
              <w:t xml:space="preserve">57.4% / 13.3%</w:t>
            </w:r>
          </w:p>
        </w:tc>
        <w:tc>
          <w:tcPr/>
          <w:p>
            <w:pPr>
              <w:pStyle w:val="Compact"/>
              <w:jc w:val="right"/>
            </w:pPr>
            <w:r>
              <w:rPr>
                <w:lang w:val="en-US"/>
              </w:rPr>
              <w:t xml:space="preserve">5.15% / 0.00%</w:t>
            </w:r>
          </w:p>
        </w:tc>
        <w:tc>
          <w:tcPr/>
          <w:p>
            <w:pPr>
              <w:pStyle w:val="Compact"/>
              <w:jc w:val="right"/>
            </w:pPr>
            <w:r>
              <w:rPr>
                <w:lang w:val="en-US"/>
              </w:rPr>
              <w:t xml:space="preserve">42.8% / 85.9%</w:t>
            </w:r>
          </w:p>
        </w:tc>
        <w:tc>
          <w:tcPr/>
          <w:p>
            <w:pPr>
              <w:pStyle w:val="Compact"/>
              <w:jc w:val="right"/>
            </w:pPr>
            <w:r>
              <w:rPr>
                <w:lang w:val="en-US"/>
              </w:rPr>
              <w:t xml:space="preserve">0.0% / 100.0%</w:t>
            </w:r>
          </w:p>
        </w:tc>
      </w:tr>
      <w:tr>
        <w:tc>
          <w:tcPr/>
          <w:p>
            <w:pPr>
              <w:pStyle w:val="Compact"/>
              <w:jc w:val="left"/>
            </w:pPr>
            <w:r>
              <w:rPr>
                <w:lang w:val="en-US"/>
              </w:rPr>
              <w:t xml:space="preserve">10</w:t>
            </w:r>
          </w:p>
        </w:tc>
        <w:tc>
          <w:tcPr/>
          <w:p>
            <w:pPr>
              <w:pStyle w:val="Compact"/>
              <w:jc w:val="right"/>
            </w:pPr>
            <w:r>
              <w:rPr>
                <w:lang w:val="en-US"/>
              </w:rPr>
              <w:t xml:space="preserve">0.01</w:t>
            </w:r>
          </w:p>
        </w:tc>
        <w:tc>
          <w:tcPr/>
          <w:p>
            <w:pPr>
              <w:pStyle w:val="Compact"/>
              <w:jc w:val="right"/>
            </w:pPr>
            <w:r>
              <w:rPr>
                <w:lang w:val="en-US"/>
              </w:rPr>
              <w:t xml:space="preserve">0.05</w:t>
            </w:r>
          </w:p>
        </w:tc>
        <w:tc>
          <w:tcPr/>
          <w:p>
            <w:pPr>
              <w:pStyle w:val="Compact"/>
              <w:jc w:val="right"/>
            </w:pPr>
            <w:r>
              <w:rPr>
                <w:lang w:val="en-US"/>
              </w:rPr>
              <w:t xml:space="preserve">57.4% / 10.7%</w:t>
            </w:r>
          </w:p>
        </w:tc>
        <w:tc>
          <w:tcPr/>
          <w:p>
            <w:pPr>
              <w:pStyle w:val="Compact"/>
              <w:jc w:val="right"/>
            </w:pPr>
            <w:r>
              <w:rPr>
                <w:lang w:val="en-US"/>
              </w:rPr>
              <w:t xml:space="preserve">11.65% / 0.00%</w:t>
            </w:r>
          </w:p>
        </w:tc>
        <w:tc>
          <w:tcPr/>
          <w:p>
            <w:pPr>
              <w:pStyle w:val="Compact"/>
              <w:jc w:val="right"/>
            </w:pPr>
            <w:r>
              <w:rPr>
                <w:lang w:val="en-US"/>
              </w:rPr>
              <w:t xml:space="preserve">42.8% / 88.2%</w:t>
            </w:r>
          </w:p>
        </w:tc>
        <w:tc>
          <w:tcPr/>
          <w:p>
            <w:pPr>
              <w:pStyle w:val="Compact"/>
              <w:jc w:val="right"/>
            </w:pPr>
            <w:r>
              <w:rPr>
                <w:lang w:val="en-US"/>
              </w:rPr>
              <w:t xml:space="preserve">0.0% / 100.0%</w:t>
            </w:r>
          </w:p>
        </w:tc>
      </w:tr>
      <w:tr>
        <w:tc>
          <w:tcPr/>
          <w:p>
            <w:pPr>
              <w:pStyle w:val="Compact"/>
              <w:jc w:val="left"/>
            </w:pPr>
            <w:r>
              <w:rPr>
                <w:lang w:val="en-US"/>
              </w:rPr>
              <w:t xml:space="preserve">10</w:t>
            </w:r>
          </w:p>
        </w:tc>
        <w:tc>
          <w:tcPr/>
          <w:p>
            <w:pPr>
              <w:pStyle w:val="Compact"/>
              <w:jc w:val="right"/>
            </w:pPr>
            <w:r>
              <w:rPr>
                <w:lang w:val="en-US"/>
              </w:rPr>
              <w:t xml:space="preserve">0.01</w:t>
            </w:r>
          </w:p>
        </w:tc>
        <w:tc>
          <w:tcPr/>
          <w:p>
            <w:pPr>
              <w:pStyle w:val="Compact"/>
              <w:jc w:val="right"/>
            </w:pPr>
            <w:r>
              <w:rPr>
                <w:lang w:val="en-US"/>
              </w:rPr>
              <w:t xml:space="preserve">0.25</w:t>
            </w:r>
          </w:p>
        </w:tc>
        <w:tc>
          <w:tcPr/>
          <w:p>
            <w:pPr>
              <w:pStyle w:val="Compact"/>
              <w:jc w:val="right"/>
            </w:pPr>
            <w:r>
              <w:rPr>
                <w:lang w:val="en-US"/>
              </w:rPr>
              <w:t xml:space="preserve">57.4% / 1.5%</w:t>
            </w:r>
          </w:p>
        </w:tc>
        <w:tc>
          <w:tcPr/>
          <w:p>
            <w:pPr>
              <w:pStyle w:val="Compact"/>
              <w:jc w:val="right"/>
            </w:pPr>
            <w:r>
              <w:rPr>
                <w:lang w:val="en-US"/>
              </w:rPr>
              <w:t xml:space="preserve">28.33% / 0.00%</w:t>
            </w:r>
          </w:p>
        </w:tc>
        <w:tc>
          <w:tcPr/>
          <w:p>
            <w:pPr>
              <w:pStyle w:val="Compact"/>
              <w:jc w:val="right"/>
            </w:pPr>
            <w:r>
              <w:rPr>
                <w:lang w:val="en-US"/>
              </w:rPr>
              <w:t xml:space="preserve">42.8% / 98.4%</w:t>
            </w:r>
          </w:p>
        </w:tc>
        <w:tc>
          <w:tcPr/>
          <w:p>
            <w:pPr>
              <w:pStyle w:val="Compact"/>
              <w:jc w:val="right"/>
            </w:pPr>
            <w:r>
              <w:rPr>
                <w:lang w:val="en-US"/>
              </w:rPr>
              <w:t xml:space="preserve">0.0% / 100.0%</w:t>
            </w:r>
          </w:p>
        </w:tc>
      </w:tr>
      <w:tr>
        <w:tc>
          <w:tcPr/>
          <w:p>
            <w:pPr>
              <w:pStyle w:val="Compact"/>
              <w:jc w:val="left"/>
            </w:pPr>
            <w:r>
              <w:rPr>
                <w:lang w:val="en-US"/>
              </w:rPr>
              <w:t xml:space="preserve">10</w:t>
            </w:r>
          </w:p>
        </w:tc>
        <w:tc>
          <w:tcPr/>
          <w:p>
            <w:pPr>
              <w:pStyle w:val="Compact"/>
              <w:jc w:val="right"/>
            </w:pPr>
            <w:r>
              <w:rPr>
                <w:lang w:val="en-US"/>
              </w:rPr>
              <w:t xml:space="preserve">0.05</w:t>
            </w:r>
          </w:p>
        </w:tc>
        <w:tc>
          <w:tcPr/>
          <w:p>
            <w:pPr>
              <w:pStyle w:val="Compact"/>
              <w:jc w:val="right"/>
            </w:pPr>
            <w:r>
              <w:rPr>
                <w:lang w:val="en-US"/>
              </w:rPr>
              <w:t xml:space="preserve">0.01</w:t>
            </w:r>
          </w:p>
        </w:tc>
        <w:tc>
          <w:tcPr/>
          <w:p>
            <w:pPr>
              <w:pStyle w:val="Compact"/>
              <w:jc w:val="right"/>
            </w:pPr>
            <w:r>
              <w:rPr>
                <w:lang w:val="en-US"/>
              </w:rPr>
              <w:t xml:space="preserve">51.7% / 0.0%</w:t>
            </w:r>
          </w:p>
        </w:tc>
        <w:tc>
          <w:tcPr/>
          <w:p>
            <w:pPr>
              <w:pStyle w:val="Compact"/>
              <w:jc w:val="right"/>
            </w:pPr>
            <w:r>
              <w:rPr>
                <w:lang w:val="en-US"/>
              </w:rPr>
              <w:t xml:space="preserve">3.40% / —</w:t>
            </w:r>
          </w:p>
        </w:tc>
        <w:tc>
          <w:tcPr/>
          <w:p>
            <w:pPr>
              <w:pStyle w:val="Compact"/>
              <w:jc w:val="right"/>
            </w:pPr>
            <w:r>
              <w:rPr>
                <w:lang w:val="en-US"/>
              </w:rPr>
              <w:t xml:space="preserve">48.4% / 100.0%</w:t>
            </w:r>
          </w:p>
        </w:tc>
        <w:tc>
          <w:tcPr/>
          <w:p>
            <w:pPr>
              <w:pStyle w:val="Compact"/>
              <w:jc w:val="right"/>
            </w:pPr>
            <w:r>
              <w:rPr>
                <w:lang w:val="en-US"/>
              </w:rPr>
              <w:t xml:space="preserve">70.3% / 70.3%</w:t>
            </w:r>
          </w:p>
        </w:tc>
      </w:tr>
      <w:tr>
        <w:tc>
          <w:tcPr/>
          <w:p>
            <w:pPr>
              <w:pStyle w:val="Compact"/>
              <w:jc w:val="left"/>
            </w:pPr>
            <w:r>
              <w:rPr>
                <w:lang w:val="en-US"/>
              </w:rPr>
              <w:t xml:space="preserve">10</w:t>
            </w:r>
          </w:p>
        </w:tc>
        <w:tc>
          <w:tcPr/>
          <w:p>
            <w:pPr>
              <w:pStyle w:val="Compact"/>
              <w:jc w:val="right"/>
            </w:pPr>
            <w:r>
              <w:rPr>
                <w:lang w:val="en-US"/>
              </w:rPr>
              <w:t xml:space="preserve">0.05</w:t>
            </w:r>
          </w:p>
        </w:tc>
        <w:tc>
          <w:tcPr/>
          <w:p>
            <w:pPr>
              <w:pStyle w:val="Compact"/>
              <w:jc w:val="right"/>
            </w:pPr>
            <w:r>
              <w:rPr>
                <w:lang w:val="en-US"/>
              </w:rPr>
              <w:t xml:space="preserve">0.05</w:t>
            </w:r>
          </w:p>
        </w:tc>
        <w:tc>
          <w:tcPr/>
          <w:p>
            <w:pPr>
              <w:pStyle w:val="Compact"/>
              <w:jc w:val="right"/>
            </w:pPr>
            <w:r>
              <w:rPr>
                <w:lang w:val="en-US"/>
              </w:rPr>
              <w:t xml:space="preserve">52.9% / 0.0%</w:t>
            </w:r>
          </w:p>
        </w:tc>
        <w:tc>
          <w:tcPr/>
          <w:p>
            <w:pPr>
              <w:pStyle w:val="Compact"/>
              <w:jc w:val="right"/>
            </w:pPr>
            <w:r>
              <w:rPr>
                <w:lang w:val="en-US"/>
              </w:rPr>
              <w:t xml:space="preserve">8.68% / —</w:t>
            </w:r>
          </w:p>
        </w:tc>
        <w:tc>
          <w:tcPr/>
          <w:p>
            <w:pPr>
              <w:pStyle w:val="Compact"/>
              <w:jc w:val="right"/>
            </w:pPr>
            <w:r>
              <w:rPr>
                <w:lang w:val="en-US"/>
              </w:rPr>
              <w:t xml:space="preserve">47.2% / 100.0%</w:t>
            </w:r>
          </w:p>
        </w:tc>
        <w:tc>
          <w:tcPr/>
          <w:p>
            <w:pPr>
              <w:pStyle w:val="Compact"/>
              <w:jc w:val="right"/>
            </w:pPr>
            <w:r>
              <w:rPr>
                <w:lang w:val="en-US"/>
              </w:rPr>
              <w:t xml:space="preserve">0.0% / 100.0%</w:t>
            </w:r>
          </w:p>
        </w:tc>
      </w:tr>
      <w:tr>
        <w:tc>
          <w:tcPr/>
          <w:p>
            <w:pPr>
              <w:pStyle w:val="Compact"/>
              <w:jc w:val="left"/>
            </w:pPr>
            <w:r>
              <w:rPr>
                <w:lang w:val="en-US"/>
              </w:rPr>
              <w:t xml:space="preserve">10</w:t>
            </w:r>
          </w:p>
        </w:tc>
        <w:tc>
          <w:tcPr/>
          <w:p>
            <w:pPr>
              <w:pStyle w:val="Compact"/>
              <w:jc w:val="right"/>
            </w:pPr>
            <w:r>
              <w:rPr>
                <w:lang w:val="en-US"/>
              </w:rPr>
              <w:t xml:space="preserve">0.05</w:t>
            </w:r>
          </w:p>
        </w:tc>
        <w:tc>
          <w:tcPr/>
          <w:p>
            <w:pPr>
              <w:pStyle w:val="Compact"/>
              <w:jc w:val="right"/>
            </w:pPr>
            <w:r>
              <w:rPr>
                <w:lang w:val="en-US"/>
              </w:rPr>
              <w:t xml:space="preserve">0.25</w:t>
            </w:r>
          </w:p>
        </w:tc>
        <w:tc>
          <w:tcPr/>
          <w:p>
            <w:pPr>
              <w:pStyle w:val="Compact"/>
              <w:jc w:val="right"/>
            </w:pPr>
            <w:r>
              <w:rPr>
                <w:lang w:val="en-US"/>
              </w:rPr>
              <w:t xml:space="preserve">52.9% / 0.0%</w:t>
            </w:r>
          </w:p>
        </w:tc>
        <w:tc>
          <w:tcPr/>
          <w:p>
            <w:pPr>
              <w:pStyle w:val="Compact"/>
              <w:jc w:val="right"/>
            </w:pPr>
            <w:r>
              <w:rPr>
                <w:lang w:val="en-US"/>
              </w:rPr>
              <w:t xml:space="preserve">26.31% / —</w:t>
            </w:r>
          </w:p>
        </w:tc>
        <w:tc>
          <w:tcPr/>
          <w:p>
            <w:pPr>
              <w:pStyle w:val="Compact"/>
              <w:jc w:val="right"/>
            </w:pPr>
            <w:r>
              <w:rPr>
                <w:lang w:val="en-US"/>
              </w:rPr>
              <w:t xml:space="preserve">47.2% / 100.0%</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0.005</w:t>
            </w:r>
          </w:p>
        </w:tc>
        <w:tc>
          <w:tcPr/>
          <w:p>
            <w:pPr>
              <w:pStyle w:val="Compact"/>
              <w:jc w:val="right"/>
            </w:pPr>
            <w:r>
              <w:rPr>
                <w:lang w:val="en-US"/>
              </w:rPr>
              <w:t xml:space="preserve">0.01</w:t>
            </w:r>
          </w:p>
        </w:tc>
        <w:tc>
          <w:tcPr/>
          <w:p>
            <w:pPr>
              <w:pStyle w:val="Compact"/>
              <w:jc w:val="right"/>
            </w:pPr>
            <w:r>
              <w:rPr>
                <w:lang w:val="en-US"/>
              </w:rPr>
              <w:t xml:space="preserve">59.3% / 20.3%</w:t>
            </w:r>
          </w:p>
        </w:tc>
        <w:tc>
          <w:tcPr/>
          <w:p>
            <w:pPr>
              <w:pStyle w:val="Compact"/>
              <w:jc w:val="right"/>
            </w:pPr>
            <w:r>
              <w:rPr>
                <w:lang w:val="en-US"/>
              </w:rPr>
              <w:t xml:space="preserve">4.96% / 0.00%</w:t>
            </w:r>
          </w:p>
        </w:tc>
        <w:tc>
          <w:tcPr/>
          <w:p>
            <w:pPr>
              <w:pStyle w:val="Compact"/>
              <w:jc w:val="right"/>
            </w:pPr>
            <w:r>
              <w:rPr>
                <w:lang w:val="en-US"/>
              </w:rPr>
              <w:t xml:space="preserve">40.7% / 78.3%</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0.005</w:t>
            </w:r>
          </w:p>
        </w:tc>
        <w:tc>
          <w:tcPr/>
          <w:p>
            <w:pPr>
              <w:pStyle w:val="Compact"/>
              <w:jc w:val="right"/>
            </w:pPr>
            <w:r>
              <w:rPr>
                <w:lang w:val="en-US"/>
              </w:rPr>
              <w:t xml:space="preserve">0.05</w:t>
            </w:r>
          </w:p>
        </w:tc>
        <w:tc>
          <w:tcPr/>
          <w:p>
            <w:pPr>
              <w:pStyle w:val="Compact"/>
              <w:jc w:val="right"/>
            </w:pPr>
            <w:r>
              <w:rPr>
                <w:lang w:val="en-US"/>
              </w:rPr>
              <w:t xml:space="preserve">59.3% / 15.3%</w:t>
            </w:r>
          </w:p>
        </w:tc>
        <w:tc>
          <w:tcPr/>
          <w:p>
            <w:pPr>
              <w:pStyle w:val="Compact"/>
              <w:jc w:val="right"/>
            </w:pPr>
            <w:r>
              <w:rPr>
                <w:lang w:val="en-US"/>
              </w:rPr>
              <w:t xml:space="preserve">12.03% / 0.00%</w:t>
            </w:r>
          </w:p>
        </w:tc>
        <w:tc>
          <w:tcPr/>
          <w:p>
            <w:pPr>
              <w:pStyle w:val="Compact"/>
              <w:jc w:val="right"/>
            </w:pPr>
            <w:r>
              <w:rPr>
                <w:lang w:val="en-US"/>
              </w:rPr>
              <w:t xml:space="preserve">40.7% / 83.0%</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0.005</w:t>
            </w:r>
          </w:p>
        </w:tc>
        <w:tc>
          <w:tcPr/>
          <w:p>
            <w:pPr>
              <w:pStyle w:val="Compact"/>
              <w:jc w:val="right"/>
            </w:pPr>
            <w:r>
              <w:rPr>
                <w:lang w:val="en-US"/>
              </w:rPr>
              <w:t xml:space="preserve">0.25</w:t>
            </w:r>
          </w:p>
        </w:tc>
        <w:tc>
          <w:tcPr/>
          <w:p>
            <w:pPr>
              <w:pStyle w:val="Compact"/>
              <w:jc w:val="right"/>
            </w:pPr>
            <w:r>
              <w:rPr>
                <w:lang w:val="en-US"/>
              </w:rPr>
              <w:t xml:space="preserve">59.3% / 1.7%</w:t>
            </w:r>
          </w:p>
        </w:tc>
        <w:tc>
          <w:tcPr/>
          <w:p>
            <w:pPr>
              <w:pStyle w:val="Compact"/>
              <w:jc w:val="right"/>
            </w:pPr>
            <w:r>
              <w:rPr>
                <w:lang w:val="en-US"/>
              </w:rPr>
              <w:t xml:space="preserve">29.05% / 0.00%</w:t>
            </w:r>
          </w:p>
        </w:tc>
        <w:tc>
          <w:tcPr/>
          <w:p>
            <w:pPr>
              <w:pStyle w:val="Compact"/>
              <w:jc w:val="right"/>
            </w:pPr>
            <w:r>
              <w:rPr>
                <w:lang w:val="en-US"/>
              </w:rPr>
              <w:t xml:space="preserve">40.7% / 98.2%</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0.01</w:t>
            </w:r>
          </w:p>
        </w:tc>
        <w:tc>
          <w:tcPr/>
          <w:p>
            <w:pPr>
              <w:pStyle w:val="Compact"/>
              <w:jc w:val="right"/>
            </w:pPr>
            <w:r>
              <w:rPr>
                <w:lang w:val="en-US"/>
              </w:rPr>
              <w:t xml:space="preserve">0.01</w:t>
            </w:r>
          </w:p>
        </w:tc>
        <w:tc>
          <w:tcPr/>
          <w:p>
            <w:pPr>
              <w:pStyle w:val="Compact"/>
              <w:jc w:val="right"/>
            </w:pPr>
            <w:r>
              <w:rPr>
                <w:lang w:val="en-US"/>
              </w:rPr>
              <w:t xml:space="preserve">59.2% / 13.7%</w:t>
            </w:r>
          </w:p>
        </w:tc>
        <w:tc>
          <w:tcPr/>
          <w:p>
            <w:pPr>
              <w:pStyle w:val="Compact"/>
              <w:jc w:val="right"/>
            </w:pPr>
            <w:r>
              <w:rPr>
                <w:lang w:val="en-US"/>
              </w:rPr>
              <w:t xml:space="preserve">5.55% / 0.00%</w:t>
            </w:r>
          </w:p>
        </w:tc>
        <w:tc>
          <w:tcPr/>
          <w:p>
            <w:pPr>
              <w:pStyle w:val="Compact"/>
              <w:jc w:val="right"/>
            </w:pPr>
            <w:r>
              <w:rPr>
                <w:lang w:val="en-US"/>
              </w:rPr>
              <w:t xml:space="preserve">40.7% / 85.5%</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0.01</w:t>
            </w:r>
          </w:p>
        </w:tc>
        <w:tc>
          <w:tcPr/>
          <w:p>
            <w:pPr>
              <w:pStyle w:val="Compact"/>
              <w:jc w:val="right"/>
            </w:pPr>
            <w:r>
              <w:rPr>
                <w:lang w:val="en-US"/>
              </w:rPr>
              <w:t xml:space="preserve">0.05</w:t>
            </w:r>
          </w:p>
        </w:tc>
        <w:tc>
          <w:tcPr/>
          <w:p>
            <w:pPr>
              <w:pStyle w:val="Compact"/>
              <w:jc w:val="right"/>
            </w:pPr>
            <w:r>
              <w:rPr>
                <w:lang w:val="en-US"/>
              </w:rPr>
              <w:t xml:space="preserve">59.2% / 11.0%</w:t>
            </w:r>
          </w:p>
        </w:tc>
        <w:tc>
          <w:tcPr/>
          <w:p>
            <w:pPr>
              <w:pStyle w:val="Compact"/>
              <w:jc w:val="right"/>
            </w:pPr>
            <w:r>
              <w:rPr>
                <w:lang w:val="en-US"/>
              </w:rPr>
              <w:t xml:space="preserve">12.18% / 0.00%</w:t>
            </w:r>
          </w:p>
        </w:tc>
        <w:tc>
          <w:tcPr/>
          <w:p>
            <w:pPr>
              <w:pStyle w:val="Compact"/>
              <w:jc w:val="right"/>
            </w:pPr>
            <w:r>
              <w:rPr>
                <w:lang w:val="en-US"/>
              </w:rPr>
              <w:t xml:space="preserve">40.7% / 87.8%</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0.01</w:t>
            </w:r>
          </w:p>
        </w:tc>
        <w:tc>
          <w:tcPr/>
          <w:p>
            <w:pPr>
              <w:pStyle w:val="Compact"/>
              <w:jc w:val="right"/>
            </w:pPr>
            <w:r>
              <w:rPr>
                <w:lang w:val="en-US"/>
              </w:rPr>
              <w:t xml:space="preserve">0.25</w:t>
            </w:r>
          </w:p>
        </w:tc>
        <w:tc>
          <w:tcPr/>
          <w:p>
            <w:pPr>
              <w:pStyle w:val="Compact"/>
              <w:jc w:val="right"/>
            </w:pPr>
            <w:r>
              <w:rPr>
                <w:lang w:val="en-US"/>
              </w:rPr>
              <w:t xml:space="preserve">59.2% / 1.5%</w:t>
            </w:r>
          </w:p>
        </w:tc>
        <w:tc>
          <w:tcPr/>
          <w:p>
            <w:pPr>
              <w:pStyle w:val="Compact"/>
              <w:jc w:val="right"/>
            </w:pPr>
            <w:r>
              <w:rPr>
                <w:lang w:val="en-US"/>
              </w:rPr>
              <w:t xml:space="preserve">29.03% / 0.00%</w:t>
            </w:r>
          </w:p>
        </w:tc>
        <w:tc>
          <w:tcPr/>
          <w:p>
            <w:pPr>
              <w:pStyle w:val="Compact"/>
              <w:jc w:val="right"/>
            </w:pPr>
            <w:r>
              <w:rPr>
                <w:lang w:val="en-US"/>
              </w:rPr>
              <w:t xml:space="preserve">40.7% / 98.3%</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0.05</w:t>
            </w:r>
          </w:p>
        </w:tc>
        <w:tc>
          <w:tcPr/>
          <w:p>
            <w:pPr>
              <w:pStyle w:val="Compact"/>
              <w:jc w:val="right"/>
            </w:pPr>
            <w:r>
              <w:rPr>
                <w:lang w:val="en-US"/>
              </w:rPr>
              <w:t xml:space="preserve">0.01</w:t>
            </w:r>
          </w:p>
        </w:tc>
        <w:tc>
          <w:tcPr/>
          <w:p>
            <w:pPr>
              <w:pStyle w:val="Compact"/>
              <w:jc w:val="right"/>
            </w:pPr>
            <w:r>
              <w:rPr>
                <w:lang w:val="en-US"/>
              </w:rPr>
              <w:t xml:space="preserve">52.3% / 0.0%</w:t>
            </w:r>
          </w:p>
        </w:tc>
        <w:tc>
          <w:tcPr/>
          <w:p>
            <w:pPr>
              <w:pStyle w:val="Compact"/>
              <w:jc w:val="right"/>
            </w:pPr>
            <w:r>
              <w:rPr>
                <w:lang w:val="en-US"/>
              </w:rPr>
              <w:t xml:space="preserve">3.37% / —</w:t>
            </w:r>
          </w:p>
        </w:tc>
        <w:tc>
          <w:tcPr/>
          <w:p>
            <w:pPr>
              <w:pStyle w:val="Compact"/>
              <w:jc w:val="right"/>
            </w:pPr>
            <w:r>
              <w:rPr>
                <w:lang w:val="en-US"/>
              </w:rPr>
              <w:t xml:space="preserve">47.6% / 100.0%</w:t>
            </w:r>
          </w:p>
        </w:tc>
        <w:tc>
          <w:tcPr/>
          <w:p>
            <w:pPr>
              <w:pStyle w:val="Compact"/>
              <w:jc w:val="right"/>
            </w:pPr>
            <w:r>
              <w:rPr>
                <w:lang w:val="en-US"/>
              </w:rPr>
              <w:t xml:space="preserve">71.7% / 71.7%</w:t>
            </w:r>
          </w:p>
        </w:tc>
      </w:tr>
      <w:tr>
        <w:tc>
          <w:tcPr/>
          <w:p>
            <w:pPr>
              <w:pStyle w:val="Compact"/>
              <w:jc w:val="left"/>
            </w:pPr>
            <w:r>
              <w:rPr>
                <w:lang w:val="en-US"/>
              </w:rPr>
              <w:t xml:space="preserve">50</w:t>
            </w:r>
          </w:p>
        </w:tc>
        <w:tc>
          <w:tcPr/>
          <w:p>
            <w:pPr>
              <w:pStyle w:val="Compact"/>
              <w:jc w:val="right"/>
            </w:pPr>
            <w:r>
              <w:rPr>
                <w:lang w:val="en-US"/>
              </w:rPr>
              <w:t xml:space="preserve">0.05</w:t>
            </w:r>
          </w:p>
        </w:tc>
        <w:tc>
          <w:tcPr/>
          <w:p>
            <w:pPr>
              <w:pStyle w:val="Compact"/>
              <w:jc w:val="right"/>
            </w:pPr>
            <w:r>
              <w:rPr>
                <w:lang w:val="en-US"/>
              </w:rPr>
              <w:t xml:space="preserve">0.05</w:t>
            </w:r>
          </w:p>
        </w:tc>
        <w:tc>
          <w:tcPr/>
          <w:p>
            <w:pPr>
              <w:pStyle w:val="Compact"/>
              <w:jc w:val="right"/>
            </w:pPr>
            <w:r>
              <w:rPr>
                <w:lang w:val="en-US"/>
              </w:rPr>
              <w:t xml:space="preserve">54.5% / 0.0%</w:t>
            </w:r>
          </w:p>
        </w:tc>
        <w:tc>
          <w:tcPr/>
          <w:p>
            <w:pPr>
              <w:pStyle w:val="Compact"/>
              <w:jc w:val="right"/>
            </w:pPr>
            <w:r>
              <w:rPr>
                <w:lang w:val="en-US"/>
              </w:rPr>
              <w:t xml:space="preserve">9.32% / —</w:t>
            </w:r>
          </w:p>
        </w:tc>
        <w:tc>
          <w:tcPr/>
          <w:p>
            <w:pPr>
              <w:pStyle w:val="Compact"/>
              <w:jc w:val="right"/>
            </w:pPr>
            <w:r>
              <w:rPr>
                <w:lang w:val="en-US"/>
              </w:rPr>
              <w:t xml:space="preserve">45.4% / 100.0%</w:t>
            </w:r>
          </w:p>
        </w:tc>
        <w:tc>
          <w:tcPr/>
          <w:p>
            <w:pPr>
              <w:pStyle w:val="Compact"/>
              <w:jc w:val="right"/>
            </w:pPr>
            <w:r>
              <w:rPr>
                <w:lang w:val="en-US"/>
              </w:rPr>
              <w:t xml:space="preserve">0.0% / 100.0%</w:t>
            </w:r>
          </w:p>
        </w:tc>
      </w:tr>
      <w:tr>
        <w:tc>
          <w:tcPr/>
          <w:p>
            <w:pPr>
              <w:pStyle w:val="Compact"/>
              <w:jc w:val="left"/>
            </w:pPr>
            <w:r>
              <w:rPr>
                <w:lang w:val="en-US"/>
              </w:rPr>
              <w:t xml:space="preserve">50</w:t>
            </w:r>
          </w:p>
        </w:tc>
        <w:tc>
          <w:tcPr/>
          <w:p>
            <w:pPr>
              <w:pStyle w:val="Compact"/>
              <w:jc w:val="right"/>
            </w:pPr>
            <w:r>
              <w:rPr>
                <w:lang w:val="en-US"/>
              </w:rPr>
              <w:t xml:space="preserve">0.05</w:t>
            </w:r>
          </w:p>
        </w:tc>
        <w:tc>
          <w:tcPr/>
          <w:p>
            <w:pPr>
              <w:pStyle w:val="Compact"/>
              <w:jc w:val="right"/>
            </w:pPr>
            <w:r>
              <w:rPr>
                <w:lang w:val="en-US"/>
              </w:rPr>
              <w:t xml:space="preserve">0.25</w:t>
            </w:r>
          </w:p>
        </w:tc>
        <w:tc>
          <w:tcPr/>
          <w:p>
            <w:pPr>
              <w:pStyle w:val="Compact"/>
              <w:jc w:val="right"/>
            </w:pPr>
            <w:r>
              <w:rPr>
                <w:lang w:val="en-US"/>
              </w:rPr>
              <w:t xml:space="preserve">54.5% / 0.0%</w:t>
            </w:r>
          </w:p>
        </w:tc>
        <w:tc>
          <w:tcPr/>
          <w:p>
            <w:pPr>
              <w:pStyle w:val="Compact"/>
              <w:jc w:val="right"/>
            </w:pPr>
            <w:r>
              <w:rPr>
                <w:lang w:val="en-US"/>
              </w:rPr>
              <w:t xml:space="preserve">26.67% / —</w:t>
            </w:r>
          </w:p>
        </w:tc>
        <w:tc>
          <w:tcPr/>
          <w:p>
            <w:pPr>
              <w:pStyle w:val="Compact"/>
              <w:jc w:val="right"/>
            </w:pPr>
            <w:r>
              <w:rPr>
                <w:lang w:val="en-US"/>
              </w:rPr>
              <w:t xml:space="preserve">45.4% / 100.0%</w:t>
            </w:r>
          </w:p>
        </w:tc>
        <w:tc>
          <w:tcPr/>
          <w:p>
            <w:pPr>
              <w:pStyle w:val="Compact"/>
              <w:jc w:val="right"/>
            </w:pPr>
            <w:r>
              <w:rPr>
                <w:lang w:val="en-US"/>
              </w:rPr>
              <w:t xml:space="preserve">0.0% / 100.0%</w:t>
            </w:r>
          </w:p>
        </w:tc>
      </w:tr>
    </w:tbl>
    <w:bookmarkEnd w:id="57"/>
    <w:bookmarkStart w:id="67" w:name="references"/>
    <w:p>
      <w:pPr>
        <w:pStyle w:val="Heading2"/>
      </w:pPr>
      <w:r>
        <w:rPr>
          <w:lang w:val="en-US"/>
        </w:rPr>
        <w:t xml:space="preserve">References</w:t>
      </w:r>
    </w:p>
    <w:p>
      <w:pPr>
        <w:pStyle w:val="FirstParagraph"/>
      </w:pPr>
      <w:r>
        <w:rPr>
          <w:lang w:val="en-US"/>
        </w:rPr>
        <w:t xml:space="preserve">Black, F., &amp; Scholes, M. (1973). The pricing of options and corporate liabilities.</w:t>
      </w:r>
      <w:r>
        <w:rPr>
          <w:lang w:val="en-US"/>
        </w:rPr>
        <w:t xml:space="preserve"> </w:t>
      </w:r>
      <w:r>
        <w:rPr>
          <w:i/>
          <w:iCs/>
          <w:lang w:val="en-US"/>
        </w:rPr>
        <w:t xml:space="preserve">Journal of Political Economy, 81</w:t>
      </w:r>
      <w:r>
        <w:rPr>
          <w:lang w:val="en-US"/>
        </w:rPr>
        <w:t xml:space="preserve">(3), 637–654.</w:t>
      </w:r>
      <w:r>
        <w:rPr>
          <w:lang w:val="en-US"/>
        </w:rPr>
        <w:t xml:space="preserve"> </w:t>
      </w:r>
      <w:hyperlink r:id="rId58">
        <w:r>
          <w:rPr>
            <w:rStyle w:val="Hyperlink"/>
            <w:lang w:val="en-US"/>
          </w:rPr>
          <w:t xml:space="preserve">https://doi.org/10.1086/260062</w:t>
        </w:r>
      </w:hyperlink>
    </w:p>
    <w:p>
      <w:pPr>
        <w:pStyle w:val="BodyText"/>
      </w:pPr>
      <w:r>
        <w:rPr>
          <w:lang w:val="en-US"/>
        </w:rPr>
        <w:t xml:space="preserve">Cox, J. C., Ross, S. A., &amp; Rubinstein, M. (1979). Option pricing: A simplified approach.</w:t>
      </w:r>
      <w:r>
        <w:rPr>
          <w:lang w:val="en-US"/>
        </w:rPr>
        <w:t xml:space="preserve"> </w:t>
      </w:r>
      <w:r>
        <w:rPr>
          <w:i/>
          <w:iCs/>
          <w:lang w:val="en-US"/>
        </w:rPr>
        <w:t xml:space="preserve">Journal of Financial Economics, 7</w:t>
      </w:r>
      <w:r>
        <w:rPr>
          <w:lang w:val="en-US"/>
        </w:rPr>
        <w:t xml:space="preserve">(3), 229–263.</w:t>
      </w:r>
      <w:r>
        <w:rPr>
          <w:lang w:val="en-US"/>
        </w:rPr>
        <w:t xml:space="preserve"> </w:t>
      </w:r>
      <w:hyperlink r:id="rId59">
        <w:r>
          <w:rPr>
            <w:rStyle w:val="Hyperlink"/>
            <w:lang w:val="en-US"/>
          </w:rPr>
          <w:t xml:space="preserve">https://doi.org/10.1016/0304-405X(79)90015-1</w:t>
        </w:r>
      </w:hyperlink>
    </w:p>
    <w:p>
      <w:pPr>
        <w:pStyle w:val="BodyText"/>
      </w:pPr>
      <w:r>
        <w:rPr>
          <w:lang w:val="en-US"/>
        </w:rPr>
        <w:t xml:space="preserve">Cremers, M., &amp; Weinbaum, D. (2010). Deviations from put-call parity and stock return predictability.</w:t>
      </w:r>
      <w:r>
        <w:rPr>
          <w:lang w:val="en-US"/>
        </w:rPr>
        <w:t xml:space="preserve"> </w:t>
      </w:r>
      <w:r>
        <w:rPr>
          <w:i/>
          <w:iCs/>
          <w:lang w:val="en-US"/>
        </w:rPr>
        <w:t xml:space="preserve">Journal of Financial and Quantitative Analysis, 45</w:t>
      </w:r>
      <w:r>
        <w:rPr>
          <w:lang w:val="en-US"/>
        </w:rPr>
        <w:t xml:space="preserve">(2), 335–367.</w:t>
      </w:r>
      <w:r>
        <w:rPr>
          <w:lang w:val="en-US"/>
        </w:rPr>
        <w:t xml:space="preserve"> </w:t>
      </w:r>
      <w:hyperlink r:id="rId60">
        <w:r>
          <w:rPr>
            <w:rStyle w:val="Hyperlink"/>
            <w:lang w:val="en-US"/>
          </w:rPr>
          <w:t xml:space="preserve">https://doi.org/10.1017/S002210901000013X</w:t>
        </w:r>
      </w:hyperlink>
    </w:p>
    <w:p>
      <w:pPr>
        <w:pStyle w:val="BodyText"/>
      </w:pPr>
      <w:r>
        <w:rPr>
          <w:lang w:val="en-US"/>
        </w:rPr>
        <w:t xml:space="preserve">Doran, J. S., Fodor, A., &amp; Jiang, D. (2013). Call-put implied volatility spreads and option returns.</w:t>
      </w:r>
      <w:r>
        <w:rPr>
          <w:lang w:val="en-US"/>
        </w:rPr>
        <w:t xml:space="preserve"> </w:t>
      </w:r>
      <w:r>
        <w:rPr>
          <w:i/>
          <w:iCs/>
          <w:lang w:val="en-US"/>
        </w:rPr>
        <w:t xml:space="preserve">The Review of Asset Pricing Studies, 3</w:t>
      </w:r>
      <w:r>
        <w:rPr>
          <w:lang w:val="en-US"/>
        </w:rPr>
        <w:t xml:space="preserve">(2), 258–290.</w:t>
      </w:r>
      <w:r>
        <w:rPr>
          <w:lang w:val="en-US"/>
        </w:rPr>
        <w:t xml:space="preserve"> </w:t>
      </w:r>
      <w:hyperlink r:id="rId61">
        <w:r>
          <w:rPr>
            <w:rStyle w:val="Hyperlink"/>
            <w:lang w:val="en-US"/>
          </w:rPr>
          <w:t xml:space="preserve">https://doi.org/10.1093/rapstu/rat006</w:t>
        </w:r>
      </w:hyperlink>
    </w:p>
    <w:p>
      <w:pPr>
        <w:pStyle w:val="BodyText"/>
      </w:pPr>
      <w:r>
        <w:rPr>
          <w:lang w:val="en-US"/>
        </w:rPr>
        <w:t xml:space="preserve">Goncalves-Pinto, L., Grundy, B. D., Hameed, A., van der Heijden, T., &amp; Zhu, Y. (2020). Why do option prices predict stock returns? The role of price pressure in the stock market.</w:t>
      </w:r>
      <w:r>
        <w:rPr>
          <w:lang w:val="en-US"/>
        </w:rPr>
        <w:t xml:space="preserve"> </w:t>
      </w:r>
      <w:r>
        <w:rPr>
          <w:i/>
          <w:iCs/>
          <w:lang w:val="en-US"/>
        </w:rPr>
        <w:t xml:space="preserve">Management Science, 66</w:t>
      </w:r>
      <w:r>
        <w:rPr>
          <w:lang w:val="en-US"/>
        </w:rPr>
        <w:t xml:space="preserve">(9), 3903–3926.</w:t>
      </w:r>
      <w:r>
        <w:rPr>
          <w:lang w:val="en-US"/>
        </w:rPr>
        <w:t xml:space="preserve"> </w:t>
      </w:r>
      <w:hyperlink r:id="rId62">
        <w:r>
          <w:rPr>
            <w:rStyle w:val="Hyperlink"/>
            <w:lang w:val="en-US"/>
          </w:rPr>
          <w:t xml:space="preserve">https://doi.org/10.1287/mnsc.2019.3398</w:t>
        </w:r>
      </w:hyperlink>
    </w:p>
    <w:p>
      <w:pPr>
        <w:pStyle w:val="BodyText"/>
      </w:pPr>
      <w:r>
        <w:rPr>
          <w:lang w:val="en-US"/>
        </w:rPr>
        <w:t xml:space="preserve">Hentschel, L. (2003). Errors in implied volatility estimation.</w:t>
      </w:r>
      <w:r>
        <w:rPr>
          <w:lang w:val="en-US"/>
        </w:rPr>
        <w:t xml:space="preserve"> </w:t>
      </w:r>
      <w:r>
        <w:rPr>
          <w:i/>
          <w:iCs/>
          <w:lang w:val="en-US"/>
        </w:rPr>
        <w:t xml:space="preserve">Journal of Financial and Quantitative Analysis, 38</w:t>
      </w:r>
      <w:r>
        <w:rPr>
          <w:lang w:val="en-US"/>
        </w:rPr>
        <w:t xml:space="preserve">(4), 779–810.</w:t>
      </w:r>
      <w:r>
        <w:rPr>
          <w:lang w:val="en-US"/>
        </w:rPr>
        <w:t xml:space="preserve"> </w:t>
      </w:r>
      <w:hyperlink r:id="rId63">
        <w:r>
          <w:rPr>
            <w:rStyle w:val="Hyperlink"/>
            <w:lang w:val="en-US"/>
          </w:rPr>
          <w:t xml:space="preserve">https://doi.org/10.2307/4126743</w:t>
        </w:r>
      </w:hyperlink>
    </w:p>
    <w:p>
      <w:pPr>
        <w:pStyle w:val="BodyText"/>
      </w:pPr>
      <w:r>
        <w:rPr>
          <w:lang w:val="en-US"/>
        </w:rPr>
        <w:t xml:space="preserve">Jarrow, R., &amp; Rudd, A. (1983).</w:t>
      </w:r>
      <w:r>
        <w:rPr>
          <w:lang w:val="en-US"/>
        </w:rPr>
        <w:t xml:space="preserve"> </w:t>
      </w:r>
      <w:r>
        <w:rPr>
          <w:i/>
          <w:iCs/>
          <w:lang w:val="en-US"/>
        </w:rPr>
        <w:t xml:space="preserve">Option pricing</w:t>
      </w:r>
      <w:r>
        <w:rPr>
          <w:lang w:val="en-US"/>
        </w:rPr>
        <w:t xml:space="preserve">. Dow Jones-Irwin.</w:t>
      </w:r>
    </w:p>
    <w:p>
      <w:pPr>
        <w:pStyle w:val="BodyText"/>
      </w:pPr>
      <w:r>
        <w:rPr>
          <w:lang w:val="en-US"/>
        </w:rPr>
        <w:t xml:space="preserve">Merton, R. C. (1973). Theory of rational option pricing.</w:t>
      </w:r>
      <w:r>
        <w:rPr>
          <w:lang w:val="en-US"/>
        </w:rPr>
        <w:t xml:space="preserve"> </w:t>
      </w:r>
      <w:r>
        <w:rPr>
          <w:i/>
          <w:iCs/>
          <w:lang w:val="en-US"/>
        </w:rPr>
        <w:t xml:space="preserve">The Bell Journal of Economics and Management Science, 4</w:t>
      </w:r>
      <w:r>
        <w:rPr>
          <w:lang w:val="en-US"/>
        </w:rPr>
        <w:t xml:space="preserve">(1), 141–183.</w:t>
      </w:r>
      <w:r>
        <w:rPr>
          <w:lang w:val="en-US"/>
        </w:rPr>
        <w:t xml:space="preserve"> </w:t>
      </w:r>
      <w:hyperlink r:id="rId64">
        <w:r>
          <w:rPr>
            <w:rStyle w:val="Hyperlink"/>
            <w:lang w:val="en-US"/>
          </w:rPr>
          <w:t xml:space="preserve">https://doi.org/10.2307/3003143</w:t>
        </w:r>
      </w:hyperlink>
    </w:p>
    <w:p>
      <w:pPr>
        <w:pStyle w:val="BodyText"/>
      </w:pPr>
      <w:r>
        <w:rPr>
          <w:lang w:val="en-US"/>
        </w:rPr>
        <w:t xml:space="preserve">Muravyev, D., &amp; Pearson, N. D. (2020). Options trading costs are lower than you think.</w:t>
      </w:r>
      <w:r>
        <w:rPr>
          <w:lang w:val="en-US"/>
        </w:rPr>
        <w:t xml:space="preserve"> </w:t>
      </w:r>
      <w:r>
        <w:rPr>
          <w:i/>
          <w:iCs/>
          <w:lang w:val="en-US"/>
        </w:rPr>
        <w:t xml:space="preserve">The Review of Financial Studies, 33</w:t>
      </w:r>
      <w:r>
        <w:rPr>
          <w:lang w:val="en-US"/>
        </w:rPr>
        <w:t xml:space="preserve">(11), 4973–5014.</w:t>
      </w:r>
      <w:r>
        <w:rPr>
          <w:lang w:val="en-US"/>
        </w:rPr>
        <w:t xml:space="preserve"> </w:t>
      </w:r>
      <w:hyperlink r:id="rId65">
        <w:r>
          <w:rPr>
            <w:rStyle w:val="Hyperlink"/>
            <w:lang w:val="en-US"/>
          </w:rPr>
          <w:t xml:space="preserve">https://doi.org/10.1093/rfs/hhaa010</w:t>
        </w:r>
      </w:hyperlink>
    </w:p>
    <w:p>
      <w:pPr>
        <w:pStyle w:val="BodyText"/>
      </w:pPr>
      <w:r>
        <w:rPr>
          <w:lang w:val="en-US"/>
        </w:rPr>
        <w:t xml:space="preserve">Sokolov, M. (2019).</w:t>
      </w:r>
      <w:r>
        <w:rPr>
          <w:lang w:val="en-US"/>
        </w:rPr>
        <w:t xml:space="preserve"> </w:t>
      </w:r>
      <w:r>
        <w:rPr>
          <w:i/>
          <w:iCs/>
          <w:lang w:val="en-US"/>
        </w:rPr>
        <w:t xml:space="preserve">A deeper look at the implied volatility spread as a predictor of stock returns</w:t>
      </w:r>
      <w:r>
        <w:rPr>
          <w:lang w:val="en-US"/>
        </w:rPr>
        <w:t xml:space="preserve"> </w:t>
      </w:r>
      <w:r>
        <w:rPr>
          <w:lang w:val="en-US"/>
        </w:rPr>
        <w:t xml:space="preserve">[Doctoral dissertation, University of Rochester]. University of Rochester Research Repository.</w:t>
      </w:r>
      <w:r>
        <w:rPr>
          <w:lang w:val="en-US"/>
        </w:rPr>
        <w:t xml:space="preserve"> </w:t>
      </w:r>
      <w:hyperlink r:id="rId66">
        <w:r>
          <w:rPr>
            <w:rStyle w:val="Hyperlink"/>
            <w:lang w:val="en-US"/>
          </w:rPr>
          <w:t xml:space="preserve">https://urresearch.rochester.edu/fileDownloadForInstitutionalItem.action?itemId=35841&amp;itemFileId=188460</w:t>
        </w:r>
      </w:hyperlink>
    </w:p>
    <w:bookmarkEnd w:id="67"/>
    <w:sectPr>
      <w:pgSz w:h="16838" w:w="11906"/>
      <w:pgMar w:bottom="1440" w:left="1800" w:right="1800" w:top="1440"/>
      <w:docGrid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hAnsi="Calibri"/>
        <w:sz w:val="22"/>
        <w:szCs w:val="22"/>
      </w:rPr>
    </w:rPrDefault>
    <w:pPrDefault/>
  </w:docDefaults>
  <w:style w:default="true" w:styleId="Normal" w:type="paragraph">
    <w:name w:val="Normal"/>
    <w:qFormat/>
    <w:pPr>
      <w:spacing w:after="0" w:line="259" w:lineRule="auto"/>
    </w:pPr>
    <w:rPr>
      <w:rFonts w:ascii="Leelawadee UI" w:eastAsia="Leelawadee UI" w:hAnsi="Leelawadee UI"/>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45" Target="media/rId45.png"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hyperlink" Id="rId59" Target="https://doi.org/10.1016/0304-405X(79)90015-1" TargetMode="External" /><Relationship Type="http://schemas.openxmlformats.org/officeDocument/2006/relationships/hyperlink" Id="rId60" Target="https://doi.org/10.1017/S002210901000013X" TargetMode="External" /><Relationship Type="http://schemas.openxmlformats.org/officeDocument/2006/relationships/hyperlink" Id="rId58" Target="https://doi.org/10.1086/260062" TargetMode="External" /><Relationship Type="http://schemas.openxmlformats.org/officeDocument/2006/relationships/hyperlink" Id="rId61" Target="https://doi.org/10.1093/rapstu/rat006" TargetMode="External" /><Relationship Type="http://schemas.openxmlformats.org/officeDocument/2006/relationships/hyperlink" Id="rId65" Target="https://doi.org/10.1093/rfs/hhaa010" TargetMode="External" /><Relationship Type="http://schemas.openxmlformats.org/officeDocument/2006/relationships/hyperlink" Id="rId62" Target="https://doi.org/10.1287/mnsc.2019.3398" TargetMode="External" /><Relationship Type="http://schemas.openxmlformats.org/officeDocument/2006/relationships/hyperlink" Id="rId64" Target="https://doi.org/10.2307/3003143" TargetMode="External" /><Relationship Type="http://schemas.openxmlformats.org/officeDocument/2006/relationships/hyperlink" Id="rId63" Target="https://doi.org/10.2307/4126743" TargetMode="External" /><Relationship Type="http://schemas.openxmlformats.org/officeDocument/2006/relationships/hyperlink" Id="rId9" Target="https://orcid.org/0009-0006-8368-5309" TargetMode="External" /><Relationship Type="http://schemas.openxmlformats.org/officeDocument/2006/relationships/hyperlink" Id="rId66" Target="https://urresearch.rochester.edu/fileDownloadForInstitutionalItem.action?itemId=35841&amp;itemFileId=188460"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16/0304-405X(79)90015-1" TargetMode="External" /><Relationship Type="http://schemas.openxmlformats.org/officeDocument/2006/relationships/hyperlink" Id="rId60" Target="https://doi.org/10.1017/S002210901000013X" TargetMode="External" /><Relationship Type="http://schemas.openxmlformats.org/officeDocument/2006/relationships/hyperlink" Id="rId58" Target="https://doi.org/10.1086/260062" TargetMode="External" /><Relationship Type="http://schemas.openxmlformats.org/officeDocument/2006/relationships/hyperlink" Id="rId61" Target="https://doi.org/10.1093/rapstu/rat006" TargetMode="External" /><Relationship Type="http://schemas.openxmlformats.org/officeDocument/2006/relationships/hyperlink" Id="rId65" Target="https://doi.org/10.1093/rfs/hhaa010" TargetMode="External" /><Relationship Type="http://schemas.openxmlformats.org/officeDocument/2006/relationships/hyperlink" Id="rId62" Target="https://doi.org/10.1287/mnsc.2019.3398" TargetMode="External" /><Relationship Type="http://schemas.openxmlformats.org/officeDocument/2006/relationships/hyperlink" Id="rId64" Target="https://doi.org/10.2307/3003143" TargetMode="External" /><Relationship Type="http://schemas.openxmlformats.org/officeDocument/2006/relationships/hyperlink" Id="rId63" Target="https://doi.org/10.2307/4126743" TargetMode="External" /><Relationship Type="http://schemas.openxmlformats.org/officeDocument/2006/relationships/hyperlink" Id="rId9" Target="https://orcid.org/0009-0006-8368-5309" TargetMode="External" /><Relationship Type="http://schemas.openxmlformats.org/officeDocument/2006/relationships/hyperlink" Id="rId66" Target="https://urresearch.rochester.edu/fileDownloadForInstitutionalItem.action?itemId=35841&amp;itemFileId=1884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OfficeCLI/1.0.155</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Diagnosing Call–Put Implied-Volatility Spreads: Exact European-BSM Mapping and Synthetic Reliability Tests</dc:title>
  <dc:creator>Phirawit Jitnarong</dc:creator>
  <dc:language>en-US</dc:language>
  <cp:keywords/>
  <dcterms:created xsi:type="dcterms:W3CDTF">2026-10-17T20:22:05Z</dcterms:created>
  <dcterms:modified xsi:type="dcterms:W3CDTF">2026-10-17T20:22:05Z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description-meta">
    <vt:lpwstr>A reproducible diagnostic framework for CPIV measurement, European BSM inversion, quote intervals, and synthetic ranking stability.</vt:lpwstr>
  </property>
  <property fmtid="{D5CDD505-2E9C-101B-9397-08002B2CF9AE}" pid="4" name="subtitle">
    <vt:lpwstr>A measurement-focused quantitative methods note</vt:lpwstr>
  </property>
</Properties>
</file>