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Synchronisation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fixed before any result</w:t>
            </w:r>
          </w:p>
        </w:tc>
      </w:tr>
      <w:tr>
        <w:tc>
          <w:tcPr/>
          <w:p>
            <w:pPr>
              <w:pStyle w:val="Compact"/>
              <w:jc w:val="left"/>
            </w:pPr>
            <w:r>
              <w:t xml:space="preserve">Sign band</w:t>
            </w:r>
          </w:p>
        </w:tc>
        <w:tc>
          <w:tcPr/>
          <w:p>
            <w:pPr>
              <w:pStyle w:val="Compact"/>
              <w:jc w:val="left"/>
            </w:pPr>
            <w:r>
              <w:t xml:space="preserve">0.05 percentage points</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synchronisation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was fixed in the pre-registration addendum before the replication sweep was run.</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under both declared shocks;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The endpoint range of the CPIV is narrower than the</w:t>
      </w:r>
      <w:r>
        <w:t xml:space="preserve"> </w:t>
      </w:r>
      <w:r>
        <w:t xml:space="preserve">declared tolerance.</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which is excluded from every tally.</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That axis contains the protocol tolerance grid of Table S2</w:t>
      </w:r>
      <w:r>
        <w:t xml:space="preserve"> </w:t>
      </w:r>
      <w:r>
        <w:t xml:space="preserve">plus intermediate points so the curve can be drawn; it is an evaluation</w:t>
      </w:r>
      <w:r>
        <w:t xml:space="preserve"> </w:t>
      </w:r>
      <w:r>
        <w:t xml:space="preserve">axis, not the grid. The grid itself is 0.05, 0.10 and 0.25 percentage points,</w:t>
      </w:r>
      <w:r>
        <w:t xml:space="preserve"> </w:t>
      </w:r>
      <w:r>
        <w:t xml:space="preserve">and the 0.50-point evaluation is an additional tolerance specification used</w:t>
      </w:r>
      <w:r>
        <w:t xml:space="preserve"> </w:t>
      </w:r>
      <w:r>
        <w:t xml:space="preserve">in the sweep (Section 5.3), not part of the grid. Certification and</w:t>
      </w:r>
      <w:r>
        <w:t xml:space="preserve"> </w:t>
      </w:r>
      <w:r>
        <w:t xml:space="preserve">the reported coverages are governed by the grid alone, and the decision</w:t>
      </w:r>
      <w:r>
        <w:t xml:space="preserve"> </w:t>
      </w:r>
      <w:r>
        <w:t xml:space="preserve">rules of the pre-registration addendum read the frontier at the primary</w:t>
      </w:r>
      <w:r>
        <w:t xml:space="preserve"> </w:t>
      </w:r>
      <w:r>
        <w:t xml:space="preserve">tolerance only, 0.10 pp. Table 3 shows the grid points that certify plus two</w:t>
      </w:r>
      <w:r>
        <w:t xml:space="preserve"> </w:t>
      </w:r>
      <w:r>
        <w:t xml:space="preserve">intermediate points; the other rows are in the released artefact.</w:t>
      </w:r>
    </w:p>
    <w:p>
      <w:pPr>
        <w:pStyle w:val="BodyText"/>
      </w:pPr>
      <w:r>
        <w:rPr>
          <w:b/>
          <w:bCs/>
        </w:rPr>
        <w:t xml:space="preserve">B.4 Tally.</w:t>
      </w:r>
      <w:r>
        <w:t xml:space="preserve"> </w:t>
      </w:r>
      <w:r>
        <w:rPr>
          <w:rStyle w:val="VerbatimChar"/>
        </w:rPr>
        <w:t xml:space="preserve">verdict.py</w:t>
      </w:r>
      <w:r>
        <w:t xml:space="preserve"> </w:t>
      </w:r>
      <w:r>
        <w:t xml:space="preserve">encodes the six rules of the pre-registration</w:t>
      </w:r>
      <w:r>
        <w:t xml:space="preserve"> </w:t>
      </w:r>
      <w:r>
        <w:t xml:space="preserve">addendum and reads only the sweep and study outputs.</w:t>
      </w:r>
    </w:p>
    <w:p>
      <w:pPr>
        <w:pStyle w:val="BodyText"/>
      </w:pPr>
      <w:r>
        <w:rPr>
          <w:b/>
          <w:bCs/>
        </w:rPr>
        <w:t xml:space="preserve">B.5 Artefacts.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2026-10-25T16:13:17Z</dcterms:created>
  <dcterms:modified xsi:type="dcterms:W3CDTF">2026-10-25T16:13:17Z</dcterms:modified>
</cp:coreProperties>
</file>

<file path=docProps/custom.xml><?xml version="1.0" encoding="utf-8"?>
<Properties xmlns="http://schemas.openxmlformats.org/officeDocument/2006/custom-properties" xmlns:vt="http://schemas.openxmlformats.org/officeDocument/2006/docPropsVTypes"/>
</file>