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Title.</w:t>
      </w:r>
      <w:r>
        <w:t xml:space="preserve"> </w:t>
      </w:r>
      <w:r>
        <w:t xml:space="preserve">When Is a Call–Put Implied-Volatility Spread Measurable? An Abstention-Aware Protocol Validated Against a Known Truth</w:t>
      </w:r>
    </w:p>
    <w:p>
      <w:pPr>
        <w:pStyle w:val="BodyText"/>
      </w:pPr>
      <w:r>
        <w:rPr>
          <w:b/>
          <w:bCs/>
        </w:rPr>
        <w:t xml:space="preserve">Author.</w:t>
      </w:r>
      <w:r>
        <w:t xml:space="preserve"> </w:t>
      </w:r>
      <w:r>
        <w:t xml:space="preserve">Phirawit Jitnarong</w:t>
      </w:r>
    </w:p>
    <w:p>
      <w:pPr>
        <w:pStyle w:val="BodyText"/>
      </w:pPr>
      <w:r>
        <w:rPr>
          <w:b/>
          <w:bCs/>
        </w:rPr>
        <w:t xml:space="preserve">Affiliation.</w:t>
      </w:r>
      <w:r>
        <w:t xml:space="preserve"> </w:t>
      </w:r>
      <w:r>
        <w:t xml:space="preserve">คณะวิทยาการสารสนเทศ สาขาวิทยาการคอมพิวเตอร์, Burapha University, Chonburi, Thailand</w:t>
      </w:r>
    </w:p>
    <w:p>
      <w:pPr>
        <w:pStyle w:val="BodyText"/>
      </w:pPr>
      <w:r>
        <w:rPr>
          <w:b/>
          <w:bCs/>
        </w:rPr>
        <w:t xml:space="preserve">Postal address.</w:t>
      </w:r>
      <w:r>
        <w:t xml:space="preserve"> </w:t>
      </w:r>
      <w:r>
        <w:t xml:space="preserve">169 Long-Had Bangsaen Road, Saen Suk, Mueang</w:t>
      </w:r>
      <w:r>
        <w:t xml:space="preserve"> </w:t>
      </w:r>
      <w:r>
        <w:t xml:space="preserve">Chonburi, Chonburi 20131, Thailand</w:t>
      </w:r>
    </w:p>
    <w:p>
      <w:pPr>
        <w:pStyle w:val="BodyText"/>
      </w:pPr>
      <w:r>
        <w:rPr>
          <w:b/>
          <w:bCs/>
        </w:rPr>
        <w:t xml:space="preserve">Email.</w:t>
      </w:r>
      <w:r>
        <w:t xml:space="preserve"> </w:t>
      </w:r>
      <w:r>
        <w:t xml:space="preserve">nxme176@gmail.com</w:t>
      </w:r>
    </w:p>
    <w:p>
      <w:pPr>
        <w:pStyle w:val="BodyText"/>
      </w:pPr>
      <w:r>
        <w:rPr>
          <w:b/>
          <w:bCs/>
        </w:rPr>
        <w:t xml:space="preserve">Corresponding author.</w:t>
      </w:r>
      <w:r>
        <w:t xml:space="preserve"> </w:t>
      </w:r>
      <w:r>
        <w:t xml:space="preserve">Phirawit Jitnarong, nxme176@gmail.com</w:t>
      </w:r>
    </w:p>
    <w:p>
      <w:pPr>
        <w:pStyle w:val="BodyText"/>
      </w:pPr>
      <w:r>
        <w:rPr>
          <w:b/>
          <w:bCs/>
        </w:rPr>
        <w:t xml:space="preserve">Running header (short title).</w:t>
      </w:r>
      <w:r>
        <w:t xml:space="preserve"> </w:t>
      </w:r>
      <w:r>
        <w:t xml:space="preserve">When Is a CPIV Measurable?</w:t>
      </w:r>
    </w:p>
    <w:p>
      <w:pPr>
        <w:pStyle w:val="BodyText"/>
      </w:pPr>
      <w:r>
        <w:rPr>
          <w:b/>
          <w:bCs/>
        </w:rPr>
        <w:t xml:space="preserve">Number of words.</w:t>
      </w:r>
      <w:r>
        <w:t xml:space="preserve"> </w:t>
      </w:r>
      <w:r>
        <w:t xml:space="preserve">Main text 9,995 words, abstract</w:t>
      </w:r>
      <w:r>
        <w:t xml:space="preserve"> </w:t>
      </w:r>
      <w:r>
        <w:t xml:space="preserve">195 words, excluding references, declarations and the</w:t>
      </w:r>
      <w:r>
        <w:t xml:space="preserve"> </w:t>
      </w:r>
      <w:r>
        <w:t xml:space="preserve">supplementary material.</w:t>
      </w:r>
    </w:p>
    <w:p>
      <w:pPr>
        <w:pStyle w:val="BodyText"/>
      </w:pPr>
      <w:r>
        <w:rPr>
          <w:b/>
          <w:bCs/>
        </w:rPr>
        <w:t xml:space="preserve">Number of figures and tables.</w:t>
      </w:r>
      <w:r>
        <w:t xml:space="preserve"> </w:t>
      </w:r>
      <w:r>
        <w:t xml:space="preserve">One figure; 7 tables in</w:t>
      </w:r>
      <w:r>
        <w:t xml:space="preserve"> </w:t>
      </w:r>
      <w:r>
        <w:t xml:space="preserve">the main text, and two further tables (Tables S1 and S2) in the</w:t>
      </w:r>
      <w:r>
        <w:t xml:space="preserve"> </w:t>
      </w:r>
      <w:r>
        <w:t xml:space="preserve">supplementary material.</w:t>
      </w:r>
    </w:p>
    <w:p>
      <w:pPr>
        <w:pStyle w:val="BodyText"/>
      </w:pPr>
      <w:r>
        <w:rPr>
          <w:b/>
          <w:bCs/>
        </w:rPr>
        <w:t xml:space="preserve">Supplementary material.</w:t>
      </w:r>
      <w:r>
        <w:t xml:space="preserve"> </w:t>
      </w:r>
      <w:r>
        <w:t xml:space="preserve">Appendices A and B, Table S1, and one CSV file</w:t>
      </w:r>
      <w:r>
        <w:t xml:space="preserve"> </w:t>
      </w:r>
      <w:r>
        <w:t xml:space="preserve">per main-text table, supplied as separate editable files.</w:t>
      </w:r>
    </w:p>
    <w:bookmarkEnd w:id="9"/>
    <w:sectPr>
      <w:pgSz w:w="11906" w:h="16838"/>
      <w:pgMar w:top="1418" w:right="1418" w:bottom="1418" w:left="1418" w:header="709" w:footer="709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8" w:val="single"/>
        <w:bottom w:color="auto" w:space="0" w:sz="8" w:val="single"/>
        <w:insideH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sz w:val="18"/>
      <w:szCs w:val="18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2026-10-25T16:13:11Z</dcterms:created>
  <dcterms:modified xsi:type="dcterms:W3CDTF">2026-10-25T16:13:11Z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