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igure-and-table-legends"/>
    <w:p>
      <w:pPr>
        <w:pStyle w:val="Heading2"/>
      </w:pPr>
      <w:r>
        <w:t xml:space="preserve">Figure and table legends</w:t>
      </w:r>
    </w:p>
    <w:p>
      <w:pPr>
        <w:pStyle w:val="FirstParagraph"/>
      </w:pPr>
      <w:r>
        <w:rPr>
          <w:b/>
          <w:bCs/>
        </w:rPr>
        <w:t xml:space="preserve">Table 1.</w:t>
      </w:r>
      <w:r>
        <w:t xml:space="preserve"> </w:t>
      </w:r>
      <w:r>
        <w:t xml:space="preserve">Attrition funnel of the development draw, showing the count</w:t>
      </w:r>
      <w:r>
        <w:t xml:space="preserve"> </w:t>
      </w:r>
      <w:r>
        <w:t xml:space="preserve">surviving each pipeline stage, its share of the attempted pairs and of the</w:t>
      </w:r>
      <w:r>
        <w:t xml:space="preserve"> </w:t>
      </w:r>
      <w:r>
        <w:t xml:space="preserve">preceding stage, and the dominant rejection reason at that stage.</w:t>
      </w:r>
    </w:p>
    <w:p>
      <w:pPr>
        <w:pStyle w:val="BodyText"/>
      </w:pPr>
      <w:r>
        <w:rPr>
          <w:b/>
          <w:bCs/>
        </w:rPr>
        <w:t xml:space="preserve">Table 2.</w:t>
      </w:r>
      <w:r>
        <w:t xml:space="preserve"> </w:t>
      </w:r>
      <w:r>
        <w:t xml:space="preserve">Error profile of the raw midpoint, the bound-filtered midpoint,</w:t>
      </w:r>
      <w:r>
        <w:t xml:space="preserve"> </w:t>
      </w:r>
      <w:r>
        <w:t xml:space="preserve">the identified set and the certified set, which is its subset against the</w:t>
      </w:r>
      <w:r>
        <w:t xml:space="preserve"> </w:t>
      </w:r>
      <w:r>
        <w:t xml:space="preserve">benchmark’s defined truth, on each method’s own set.</w:t>
      </w:r>
    </w:p>
    <w:p>
      <w:pPr>
        <w:pStyle w:val="BodyText"/>
      </w:pPr>
      <w:r>
        <w:rPr>
          <w:b/>
          <w:bCs/>
        </w:rPr>
        <w:t xml:space="preserve">Table 3.</w:t>
      </w:r>
      <w:r>
        <w:t xml:space="preserve"> </w:t>
      </w:r>
      <w:r>
        <w:t xml:space="preserve">The selection frontier: for each certification tolerance, the</w:t>
      </w:r>
      <w:r>
        <w:t xml:space="preserve"> </w:t>
      </w:r>
      <w:r>
        <w:t xml:space="preserve">size and coverage of the certified set, its mean absolute error, the error</w:t>
      </w:r>
      <w:r>
        <w:t xml:space="preserve"> </w:t>
      </w:r>
      <w:r>
        <w:t xml:space="preserve">it abstains from, and the pair-null and day-block-null means with their</w:t>
      </w:r>
      <w:r>
        <w:t xml:space="preserve"> </w:t>
      </w:r>
      <w:r>
        <w:t xml:space="preserve">add-one p-values.</w:t>
      </w:r>
    </w:p>
    <w:p>
      <w:pPr>
        <w:pStyle w:val="BodyText"/>
      </w:pPr>
      <w:r>
        <w:rPr>
          <w:b/>
          <w:bCs/>
        </w:rPr>
        <w:t xml:space="preserve">Table 4.</w:t>
      </w:r>
      <w:r>
        <w:t xml:space="preserve"> </w:t>
      </w:r>
      <w:r>
        <w:t xml:space="preserve">The distribution, over the 23 replication draws, of certified</w:t>
      </w:r>
      <w:r>
        <w:t xml:space="preserve"> </w:t>
      </w:r>
      <w:r>
        <w:t xml:space="preserve">coverage, certified error and raw-midpoint error, reported as median,</w:t>
      </w:r>
      <w:r>
        <w:t xml:space="preserve"> </w:t>
      </w:r>
      <w:r>
        <w:t xml:space="preserve">interquartile range and full range.</w:t>
      </w:r>
    </w:p>
    <w:p>
      <w:pPr>
        <w:pStyle w:val="BodyText"/>
      </w:pPr>
      <w:r>
        <w:rPr>
          <w:b/>
          <w:bCs/>
        </w:rPr>
        <w:t xml:space="preserve">Table 5.</w:t>
      </w:r>
      <w:r>
        <w:t xml:space="preserve"> </w:t>
      </w:r>
      <w:r>
        <w:t xml:space="preserve">The declared rule tally, with R3 and R6 on the development seed.</w:t>
      </w:r>
    </w:p>
    <w:p>
      <w:pPr>
        <w:pStyle w:val="BodyText"/>
      </w:pPr>
      <w:r>
        <w:rPr>
          <w:b/>
          <w:bCs/>
        </w:rPr>
        <w:t xml:space="preserve">Table 6.</w:t>
      </w:r>
      <w:r>
        <w:t xml:space="preserve"> </w:t>
      </w:r>
      <w:r>
        <w:t xml:space="preserve">Certified coverage and certified and raw-midpoint error across</w:t>
      </w:r>
      <w:r>
        <w:t xml:space="preserve"> </w:t>
      </w:r>
      <w:r>
        <w:t xml:space="preserve">the ten market specifications of the sweep, at the primary tolerance.</w:t>
      </w:r>
    </w:p>
    <w:p>
      <w:pPr>
        <w:pStyle w:val="BodyText"/>
      </w:pPr>
      <w:r>
        <w:rPr>
          <w:b/>
          <w:bCs/>
        </w:rPr>
        <w:t xml:space="preserve">Table 7.</w:t>
      </w:r>
      <w:r>
        <w:t xml:space="preserve"> </w:t>
      </w:r>
      <w:r>
        <w:t xml:space="preserve">Response of certified coverage, error and mean absolute CPIV</w:t>
      </w:r>
      <w:r>
        <w:t xml:space="preserve"> </w:t>
      </w:r>
      <w:r>
        <w:t xml:space="preserve">change to each of the six declared perturbations, on the development draw.</w:t>
      </w:r>
    </w:p>
    <w:p>
      <w:pPr>
        <w:pStyle w:val="BodyText"/>
      </w:pPr>
      <w:r>
        <w:rPr>
          <w:b/>
          <w:bCs/>
        </w:rPr>
        <w:t xml:space="preserve">Figure 1.</w:t>
      </w:r>
      <w:r>
        <w:t xml:space="preserve"> </w:t>
      </w:r>
      <w:r>
        <w:t xml:space="preserve">Two panels: (a) the certified mean absolute error against the</w:t>
      </w:r>
      <w:r>
        <w:t xml:space="preserve"> </w:t>
      </w:r>
      <w:r>
        <w:t xml:space="preserve">certification tolerance, with the pair-null 5th to 95th percentile band and</w:t>
      </w:r>
      <w:r>
        <w:t xml:space="preserve"> </w:t>
      </w:r>
      <w:r>
        <w:t xml:space="preserve">the day-block null mean; (b) certified coverage across the ten market</w:t>
      </w:r>
      <w:r>
        <w:t xml:space="preserve"> </w:t>
      </w:r>
      <w:r>
        <w:t xml:space="preserve">specifications of the sweep.</w:t>
      </w:r>
    </w:p>
    <w:p>
      <w:pPr>
        <w:pStyle w:val="BodyText"/>
      </w:pPr>
      <w:r>
        <w:rPr>
          <w:i/>
          <w:iCs/>
        </w:rPr>
        <w:t xml:space="preserve">Two further tables are supplied as supplementary material: Table S1, the</w:t>
      </w:r>
      <w:r>
        <w:rPr>
          <w:i/>
          <w:iCs/>
        </w:rPr>
        <w:t xml:space="preserve"> </w:t>
      </w:r>
      <w:r>
        <w:rPr>
          <w:i/>
          <w:iCs/>
        </w:rPr>
        <w:t xml:space="preserve">strata of certified coverage by moneyness, maturity, spread and true</w:t>
      </w:r>
      <w:r>
        <w:rPr>
          <w:i/>
          <w:iCs/>
        </w:rPr>
        <w:t xml:space="preserve"> </w:t>
      </w:r>
      <w:r>
        <w:rPr>
          <w:i/>
          <w:iCs/>
        </w:rPr>
        <w:t xml:space="preserve">magnitude, and Table S2, the declared settings of the protocol.</w:t>
      </w:r>
    </w:p>
    <w:bookmarkEnd w:id="9"/>
    <w:bookmarkStart w:id="10" w:name="abstract"/>
    <w:p>
      <w:pPr>
        <w:pStyle w:val="Heading2"/>
      </w:pPr>
      <w:r>
        <w:t xml:space="preserve">Abstract</w:t>
      </w:r>
    </w:p>
    <w:p>
      <w:pPr>
        <w:pStyle w:val="FirstParagraph"/>
      </w:pPr>
      <w:r>
        <w:t xml:space="preserve">Call–put implied-volatility spreads (CPIV) computed from quote midpoints are</w:t>
      </w:r>
      <w:r>
        <w:t xml:space="preserve"> </w:t>
      </w:r>
      <w:r>
        <w:t xml:space="preserve">routinely reported as measurements; a midpoint says nothing about whether</w:t>
      </w:r>
      <w:r>
        <w:t xml:space="preserve"> </w:t>
      </w:r>
      <w:r>
        <w:t xml:space="preserve">the spread is determined by the quotes or by their placement within the</w:t>
      </w:r>
      <w:r>
        <w:t xml:space="preserve"> </w:t>
      </w:r>
      <w:r>
        <w:t xml:space="preserve">bid–ask spread. This paper describes an abstention-aware protocol that</w:t>
      </w:r>
      <w:r>
        <w:t xml:space="preserve"> </w:t>
      </w:r>
      <w:r>
        <w:t xml:space="preserve">either certifies a CPIV as identified at a declared tolerance or abstains,</w:t>
      </w:r>
      <w:r>
        <w:t xml:space="preserve"> </w:t>
      </w:r>
      <w:r>
        <w:t xml:space="preserve">giving</w:t>
      </w:r>
      <w:r>
        <w:t xml:space="preserve"> </w:t>
      </w:r>
      <w:r>
        <w:t xml:space="preserve">every attempted pair exactly one terminal status so nothing is silently</w:t>
      </w:r>
      <w:r>
        <w:t xml:space="preserve"> </w:t>
      </w:r>
      <w:r>
        <w:t xml:space="preserve">dropped. The protocol does not re-estimate the spread: where it and the raw</w:t>
      </w:r>
      <w:r>
        <w:t xml:space="preserve"> </w:t>
      </w:r>
      <w:r>
        <w:t xml:space="preserve">midpoint are both defined they are numerically identical, so every own-set</w:t>
      </w:r>
      <w:r>
        <w:t xml:space="preserve"> </w:t>
      </w:r>
      <w:r>
        <w:t xml:space="preserve">improvement is a selection effect. The abstention rule is tested against</w:t>
      </w:r>
      <w:r>
        <w:t xml:space="preserve"> </w:t>
      </w:r>
      <w:r>
        <w:t xml:space="preserve">size-matched random subsets, under a pair null and a day-block null that</w:t>
      </w:r>
      <w:r>
        <w:t xml:space="preserve"> </w:t>
      </w:r>
      <w:r>
        <w:t xml:space="preserve">preserves within-day dependence. With no market data, the protocol is validated on a synthetic instrument whose true spread is defined before any quote exists, under an addendum dated 22 October 2026 (the sweep’s date). In the</w:t>
      </w:r>
      <w:r>
        <w:t xml:space="preserve"> </w:t>
      </w:r>
      <w:r>
        <w:t xml:space="preserve">benchmark the certified subset beats size-matched random subsets in every</w:t>
      </w:r>
      <w:r>
        <w:t xml:space="preserve"> </w:t>
      </w:r>
      <w:r>
        <w:t xml:space="preserve">draw. One declared rule fails: certification coverage depends strongly</w:t>
      </w:r>
      <w:r>
        <w:t xml:space="preserve"> </w:t>
      </w:r>
      <w:r>
        <w:t xml:space="preserve">on quote microstructure, falling towards zero on coarse markets. It is a</w:t>
      </w:r>
      <w:r>
        <w:t xml:space="preserve"> </w:t>
      </w:r>
      <w:r>
        <w:t xml:space="preserve">labeling device whose coverage is a property of the market it meets, not a</w:t>
      </w:r>
      <w:r>
        <w:t xml:space="preserve"> </w:t>
      </w:r>
      <w:r>
        <w:t xml:space="preserve">rule with a fixed yield.</w:t>
      </w:r>
    </w:p>
    <w:bookmarkEnd w:id="10"/>
    <w:bookmarkStart w:id="11" w:name="keywords"/>
    <w:p>
      <w:pPr>
        <w:pStyle w:val="Heading2"/>
      </w:pPr>
      <w:r>
        <w:t xml:space="preserve">Keywords</w:t>
      </w:r>
    </w:p>
    <w:p>
      <w:pPr>
        <w:pStyle w:val="FirstParagraph"/>
      </w:pPr>
      <w:r>
        <w:t xml:space="preserve">call–put implied-volatility spread; option-quote measurement;</w:t>
      </w:r>
      <w:r>
        <w:t xml:space="preserve"> </w:t>
      </w:r>
      <w:r>
        <w:t xml:space="preserve">abstention-aware inference; identification; Black–Scholes–Merton inversion;</w:t>
      </w:r>
      <w:r>
        <w:t xml:space="preserve"> </w:t>
      </w:r>
      <w:r>
        <w:t xml:space="preserve">numerical validation</w:t>
      </w:r>
    </w:p>
    <w:bookmarkEnd w:id="11"/>
    <w:bookmarkStart w:id="12" w:name="key-messages"/>
    <w:p>
      <w:pPr>
        <w:pStyle w:val="Heading2"/>
      </w:pPr>
      <w:r>
        <w:t xml:space="preserve">Key messages</w:t>
      </w:r>
    </w:p>
    <w:p>
      <w:pPr>
        <w:pStyle w:val="Compact"/>
        <w:numPr>
          <w:ilvl w:val="0"/>
          <w:numId w:val="1001"/>
        </w:numPr>
      </w:pPr>
      <w:r>
        <w:t xml:space="preserve">Certified coverage falls towards zero on coarse-quote markets</w:t>
      </w:r>
    </w:p>
    <w:p>
      <w:pPr>
        <w:pStyle w:val="Compact"/>
        <w:numPr>
          <w:ilvl w:val="0"/>
          <w:numId w:val="1001"/>
        </w:numPr>
      </w:pPr>
      <w:r>
        <w:t xml:space="preserve">Abstention selects a genuinely easier set, not merely a smaller one</w:t>
      </w:r>
    </w:p>
    <w:p>
      <w:pPr>
        <w:pStyle w:val="Compact"/>
        <w:numPr>
          <w:ilvl w:val="0"/>
          <w:numId w:val="1001"/>
        </w:numPr>
      </w:pPr>
      <w:r>
        <w:t xml:space="preserve">On the common set the protocol is identical to the raw midpoint</w:t>
      </w:r>
    </w:p>
    <w:p>
      <w:pPr>
        <w:pStyle w:val="Compact"/>
        <w:numPr>
          <w:ilvl w:val="0"/>
          <w:numId w:val="1001"/>
        </w:numPr>
      </w:pPr>
      <w:r>
        <w:t xml:space="preserve">Thresholds were declared in an addendum dated the same day as the sweep</w:t>
      </w:r>
    </w:p>
    <w:bookmarkEnd w:id="12"/>
    <w:bookmarkStart w:id="70" w:name="X0697a703a8cb8c2d3bff5070281460844a90dd0"/>
    <w:p>
      <w:pPr>
        <w:pStyle w:val="Heading1"/>
      </w:pPr>
      <w:r>
        <w:t xml:space="preserve">When Is a Call–Put Implied-Volatility Spread Measurable? An Abstention-Aware Protocol Validated Against a Known Truth</w:t>
      </w:r>
    </w:p>
    <w:p>
      <w:r>
        <w:pict>
          <v:rect style="width:0;height:1.5pt" o:hralign="center" o:hrstd="t" o:hr="t"/>
        </w:pict>
      </w:r>
    </w:p>
    <w:bookmarkStart w:id="18" w:name="introduction"/>
    <w:p>
      <w:pPr>
        <w:pStyle w:val="Heading2"/>
      </w:pPr>
      <w:r>
        <w:t xml:space="preserve">1. Introduction</w:t>
      </w:r>
    </w:p>
    <w:bookmarkStart w:id="13" w:name="Xc8366bda1ac4c15036779f5b194450da0121c3a"/>
    <w:p>
      <w:pPr>
        <w:pStyle w:val="Heading3"/>
      </w:pPr>
      <w:r>
        <w:t xml:space="preserve">1.1 A number that is not always a measurement</w:t>
      </w:r>
    </w:p>
    <w:p>
      <w:pPr>
        <w:pStyle w:val="FirstParagraph"/>
      </w:pPr>
      <w:r>
        <w:t xml:space="preserve">The call–put implied-volatility spread is a natural object to compute from</w:t>
      </w:r>
      <w:r>
        <w:t xml:space="preserve"> </w:t>
      </w:r>
      <w:r>
        <w:t xml:space="preserve">option market data. For a call and a put on the same underlying with the</w:t>
      </w:r>
      <w:r>
        <w:t xml:space="preserve"> </w:t>
      </w:r>
      <w:r>
        <w:t xml:space="preserve">same strike and expiry, the two implied volatilities are inverted from their</w:t>
      </w:r>
      <w:r>
        <w:t xml:space="preserve"> </w:t>
      </w:r>
      <w:r>
        <w:t xml:space="preserve">own quotes under a common pricing map and differenced. The spread is used</w:t>
      </w:r>
      <w:r>
        <w:t xml:space="preserve"> </w:t>
      </w:r>
      <w:r>
        <w:t xml:space="preserve">as a feature in models of option mispricing (Cremers &amp; Weinbaum, 2010) and</w:t>
      </w:r>
      <w:r>
        <w:t xml:space="preserve"> </w:t>
      </w:r>
      <w:r>
        <w:t xml:space="preserve">as a diagnostic of the</w:t>
      </w:r>
      <w:r>
        <w:t xml:space="preserve"> </w:t>
      </w:r>
      <w:r>
        <w:t xml:space="preserve">shape of the volatility surface, and in each use it is treated as a</w:t>
      </w:r>
      <w:r>
        <w:t xml:space="preserve"> </w:t>
      </w:r>
      <w:r>
        <w:rPr>
          <w:i/>
          <w:iCs/>
        </w:rPr>
        <w:t xml:space="preserve">quantity</w:t>
      </w:r>
      <w:r>
        <w:t xml:space="preserve"> </w:t>
      </w:r>
      <w:r>
        <w:t xml:space="preserve">— a number that exists in the data, to be read off and compared</w:t>
      </w:r>
      <w:r>
        <w:t xml:space="preserve"> </w:t>
      </w:r>
      <w:r>
        <w:t xml:space="preserve">across securities and dates. That treatment is a choice, and not a harmless one. A quote is an interval:</w:t>
      </w:r>
      <w:r>
        <w:t xml:space="preserve"> </w:t>
      </w:r>
      <w:r>
        <w:t xml:space="preserve">a bid and an ask, separated by a spread that varies with liquidity,</w:t>
      </w:r>
      <w:r>
        <w:t xml:space="preserve"> </w:t>
      </w:r>
      <w:r>
        <w:t xml:space="preserve">moneyness and maturity (Madhavan, 2000), and carrying a timestamp, and the</w:t>
      </w:r>
      <w:r>
        <w:t xml:space="preserve"> </w:t>
      </w:r>
      <w:r>
        <w:t xml:space="preserve">midpoint of that interval is a convention, not an observation. That the</w:t>
      </w:r>
      <w:r>
        <w:t xml:space="preserve"> </w:t>
      </w:r>
      <w:r>
        <w:t xml:space="preserve">spread carries information about informed trading, not merely a liquidity</w:t>
      </w:r>
      <w:r>
        <w:t xml:space="preserve"> </w:t>
      </w:r>
      <w:r>
        <w:t xml:space="preserve">cost, is the dealer-quote literature’s central result (Glosten &amp; Milgrom,</w:t>
      </w:r>
      <w:r>
        <w:t xml:space="preserve"> </w:t>
      </w:r>
      <w:r>
        <w:t xml:space="preserve">1985); the midpoint discards it. Inverting a midpoint and</w:t>
      </w:r>
      <w:r>
        <w:t xml:space="preserve"> </w:t>
      </w:r>
      <w:r>
        <w:t xml:space="preserve">differencing two such numbers produces numbers, but neither step says</w:t>
      </w:r>
      <w:r>
        <w:t xml:space="preserve"> </w:t>
      </w:r>
      <w:r>
        <w:t xml:space="preserve">whether the result is determined by the market or by where the quotes</w:t>
      </w:r>
      <w:r>
        <w:t xml:space="preserve"> </w:t>
      </w:r>
      <w:r>
        <w:t xml:space="preserve">happened to sit; the error is governed by the width of the two spreads, not</w:t>
      </w:r>
      <w:r>
        <w:t xml:space="preserve"> </w:t>
      </w:r>
      <w:r>
        <w:t xml:space="preserve">by the surface the analyst believes they are measuring.</w:t>
      </w:r>
      <w:r>
        <w:t xml:space="preserve"> </w:t>
      </w:r>
      <w:r>
        <w:t xml:space="preserve">The consequence is a common failure. A CPIV table is produced, its</w:t>
      </w:r>
      <w:r>
        <w:t xml:space="preserve"> </w:t>
      </w:r>
      <w:r>
        <w:t xml:space="preserve">cross-sectional dispersion is studied, and the dispersion is read as a</w:t>
      </w:r>
      <w:r>
        <w:t xml:space="preserve"> </w:t>
      </w:r>
      <w:r>
        <w:t xml:space="preserve">property of the market. Some of it is. Some of it is the quote</w:t>
      </w:r>
      <w:r>
        <w:t xml:space="preserve"> </w:t>
      </w:r>
      <w:r>
        <w:t xml:space="preserve">microstructure, amplified by the inversion and re-expressed in volatility</w:t>
      </w:r>
      <w:r>
        <w:t xml:space="preserve"> </w:t>
      </w:r>
      <w:r>
        <w:t xml:space="preserve">units. The two are not separable afterwards, because the information needed</w:t>
      </w:r>
      <w:r>
        <w:t xml:space="preserve"> </w:t>
      </w:r>
      <w:r>
        <w:t xml:space="preserve">to separate them was discarded when the midpoint was taken.</w:t>
      </w:r>
    </w:p>
    <w:bookmarkEnd w:id="13"/>
    <w:bookmarkStart w:id="14" w:name="X7e88b3d27bad559e454a7a12947bc90fe3809f2"/>
    <w:p>
      <w:pPr>
        <w:pStyle w:val="Heading3"/>
      </w:pPr>
      <w:r>
        <w:t xml:space="preserve">1.2 What the standard toolkit does and does not do</w:t>
      </w:r>
    </w:p>
    <w:p>
      <w:pPr>
        <w:pStyle w:val="FirstParagraph"/>
      </w:pPr>
      <w:r>
        <w:t xml:space="preserve">The measurement literature has a well-developed toolkit for this problem, and</w:t>
      </w:r>
      <w:r>
        <w:t xml:space="preserve"> </w:t>
      </w:r>
      <w:r>
        <w:t xml:space="preserve">the protocol described here draws on it rather than replacing it. A bound</w:t>
      </w:r>
      <w:r>
        <w:t xml:space="preserve"> </w:t>
      </w:r>
      <w:r>
        <w:t xml:space="preserve">filter removes pairs whose quotes violate the no-arbitrage relations that</w:t>
      </w:r>
      <w:r>
        <w:t xml:space="preserve"> </w:t>
      </w:r>
      <w:r>
        <w:t xml:space="preserve">option prices must satisfy (Merton, 1973); such violations are common in</w:t>
      </w:r>
      <w:r>
        <w:t xml:space="preserve"> </w:t>
      </w:r>
      <w:r>
        <w:t xml:space="preserve">dealer quotes and are informative about the limits to arbitrage rather than</w:t>
      </w:r>
      <w:r>
        <w:t xml:space="preserve"> </w:t>
      </w:r>
      <w:r>
        <w:t xml:space="preserve">being mere data errors (Figlewski, 1989). A</w:t>
      </w:r>
      <w:r>
        <w:t xml:space="preserve"> </w:t>
      </w:r>
      <w:r>
        <w:t xml:space="preserve">bound-filtered midpoint replaces the raw midpoint. An endpoint interval</w:t>
      </w:r>
      <w:r>
        <w:t xml:space="preserve"> </w:t>
      </w:r>
      <w:r>
        <w:t xml:space="preserve">reports the range of CPIV implied by the four bid–ask endpoint</w:t>
      </w:r>
      <w:r>
        <w:t xml:space="preserve"> </w:t>
      </w:r>
      <w:r>
        <w:t xml:space="preserve">combinations, which is a strictly more honest object than a point. Bid–ask</w:t>
      </w:r>
      <w:r>
        <w:t xml:space="preserve"> </w:t>
      </w:r>
      <w:r>
        <w:t xml:space="preserve">quotes can also shift the implied volatility smile itself (Nordén, 2003), so</w:t>
      </w:r>
      <w:r>
        <w:t xml:space="preserve"> </w:t>
      </w:r>
      <w:r>
        <w:t xml:space="preserve">the endpoints carry information about the object, not only about rounding. A parity</w:t>
      </w:r>
      <w:r>
        <w:t xml:space="preserve"> </w:t>
      </w:r>
      <w:r>
        <w:t xml:space="preserve">residual cross-checks the algebra, though one that is algebraically</w:t>
      </w:r>
      <w:r>
        <w:t xml:space="preserve"> </w:t>
      </w:r>
      <w:r>
        <w:t xml:space="preserve">dependent on the CPIV itself and therefore not an independent validation.</w:t>
      </w:r>
      <w:r>
        <w:t xml:space="preserve"> </w:t>
      </w:r>
      <w:r>
        <w:t xml:space="preserve">Parity deviations are also studied in their own right, as evidence of</w:t>
      </w:r>
      <w:r>
        <w:t xml:space="preserve"> </w:t>
      </w:r>
      <w:r>
        <w:t xml:space="preserve">short-sale constraints and segmented markets (Ofek et al., 2004).</w:t>
      </w:r>
      <w:r>
        <w:t xml:space="preserve"> </w:t>
      </w:r>
      <w:r>
        <w:t xml:space="preserve">Each is declared here as a baseline. Section 6 scores only the bound-filtered</w:t>
      </w:r>
      <w:r>
        <w:t xml:space="preserve"> </w:t>
      </w:r>
      <w:r>
        <w:t xml:space="preserve">midpoint of these; the endpoint interval and the parity residual are described, not scored.</w:t>
      </w:r>
      <w:r>
        <w:t xml:space="preserve"> </w:t>
      </w:r>
      <w:r>
        <w:t xml:space="preserve">What none of them does is decline to answer. A bound-filtered midpoint is</w:t>
      </w:r>
      <w:r>
        <w:t xml:space="preserve"> </w:t>
      </w:r>
      <w:r>
        <w:t xml:space="preserve">still a point estimate of a quantity the quotes may not determine. An</w:t>
      </w:r>
      <w:r>
        <w:t xml:space="preserve"> </w:t>
      </w:r>
      <w:r>
        <w:t xml:space="preserve">endpoint interval is honest about its own width, but the width is usually</w:t>
      </w:r>
      <w:r>
        <w:t xml:space="preserve"> </w:t>
      </w:r>
      <w:r>
        <w:t xml:space="preserve">not carried forward. A parity residual checks the algebra, not the</w:t>
      </w:r>
      <w:r>
        <w:t xml:space="preserve"> </w:t>
      </w:r>
      <w:r>
        <w:t xml:space="preserve">identification of the quantity.</w:t>
      </w:r>
    </w:p>
    <w:bookmarkEnd w:id="14"/>
    <w:bookmarkStart w:id="15" w:name="X8f847ae1b9c76a5f03ed845fac5071d5df1795f"/>
    <w:p>
      <w:pPr>
        <w:pStyle w:val="Heading3"/>
      </w:pPr>
      <w:r>
        <w:t xml:space="preserve">1.3 The central claim, and its awkward consequence</w:t>
      </w:r>
    </w:p>
    <w:p>
      <w:pPr>
        <w:pStyle w:val="FirstParagraph"/>
      </w:pPr>
      <w:r>
        <w:t xml:space="preserve">The protocol produces a CPIV by taking the midpoint of the same interval the</w:t>
      </w:r>
      <w:r>
        <w:t xml:space="preserve"> </w:t>
      </w:r>
      <w:r>
        <w:t xml:space="preserve">raw baseline takes the midpoint of. It does not improve the estimator. It</w:t>
      </w:r>
      <w:r>
        <w:t xml:space="preserve"> </w:t>
      </w:r>
      <w:r>
        <w:t xml:space="preserve">labels pairs.</w:t>
      </w:r>
    </w:p>
    <w:p>
      <w:pPr>
        <w:pStyle w:val="BodyText"/>
      </w:pPr>
      <w:r>
        <w:t xml:space="preserve">The consequence is easy to state and easy to avoid stating: on</w:t>
      </w:r>
      <w:r>
        <w:t xml:space="preserve"> </w:t>
      </w:r>
      <w:r>
        <w:t xml:space="preserve">the set of pairs where the protocol certifies a value and the raw midpoint</w:t>
      </w:r>
      <w:r>
        <w:t xml:space="preserve"> </w:t>
      </w:r>
      <w:r>
        <w:t xml:space="preserve">also produces one, the two values are</w:t>
      </w:r>
      <w:r>
        <w:t xml:space="preserve"> </w:t>
      </w:r>
      <w:r>
        <w:rPr>
          <w:i/>
          <w:iCs/>
        </w:rPr>
        <w:t xml:space="preserve">numerically identical</w:t>
      </w:r>
      <w:r>
        <w:t xml:space="preserve">. Every</w:t>
      </w:r>
      <w:r>
        <w:t xml:space="preserve"> </w:t>
      </w:r>
      <w:r>
        <w:t xml:space="preserve">difference in error between the two methods on that set is exactly zero, by</w:t>
      </w:r>
      <w:r>
        <w:t xml:space="preserve"> </w:t>
      </w:r>
      <w:r>
        <w:t xml:space="preserve">construction, and not because the two methods happen to agree.</w:t>
      </w:r>
    </w:p>
    <w:p>
      <w:pPr>
        <w:pStyle w:val="BodyText"/>
      </w:pPr>
      <w:r>
        <w:t xml:space="preserve">It follows that any apparent improvement the protocol delivers is delivered</w:t>
      </w:r>
      <w:r>
        <w:t xml:space="preserve"> </w:t>
      </w:r>
      <w:r>
        <w:t xml:space="preserve">by</w:t>
      </w:r>
      <w:r>
        <w:t xml:space="preserve"> </w:t>
      </w:r>
      <w:r>
        <w:rPr>
          <w:i/>
          <w:iCs/>
        </w:rPr>
        <w:t xml:space="preserve">selection</w:t>
      </w:r>
      <w:r>
        <w:t xml:space="preserve">: by declining to report certain pairs. An improvement delivered</w:t>
      </w:r>
      <w:r>
        <w:t xml:space="preserve"> </w:t>
      </w:r>
      <w:r>
        <w:t xml:space="preserve">by selection is not the same kind of claim as an improvement delivered by a</w:t>
      </w:r>
      <w:r>
        <w:t xml:space="preserve"> </w:t>
      </w:r>
      <w:r>
        <w:t xml:space="preserve">better estimator, and a reader is entitled to know which is on offer: an</w:t>
      </w:r>
      <w:r>
        <w:t xml:space="preserve"> </w:t>
      </w:r>
      <w:r>
        <w:t xml:space="preserve">effect estimated on the treated group is not an estimate of the effect of</w:t>
      </w:r>
      <w:r>
        <w:t xml:space="preserve"> </w:t>
      </w:r>
      <w:r>
        <w:t xml:space="preserve">treatment, and the comparison must be made against the right counterfactual</w:t>
      </w:r>
      <w:r>
        <w:t xml:space="preserve"> </w:t>
      </w:r>
      <w:r>
        <w:t xml:space="preserve">(Imbens &amp; Rubin, 2015).</w:t>
      </w:r>
    </w:p>
    <w:p>
      <w:pPr>
        <w:pStyle w:val="BodyText"/>
      </w:pPr>
      <w:r>
        <w:t xml:space="preserve">So the protocol’s own-set advantage is stated as what it is — a selection</w:t>
      </w:r>
      <w:r>
        <w:t xml:space="preserve"> </w:t>
      </w:r>
      <w:r>
        <w:t xml:space="preserve">effect — and the substantive question becomes:</w:t>
      </w:r>
      <w:r>
        <w:t xml:space="preserve"> </w:t>
      </w:r>
      <w:r>
        <w:rPr>
          <w:i/>
          <w:iCs/>
        </w:rPr>
        <w:t xml:space="preserve">is the certified subset</w:t>
      </w:r>
      <w:r>
        <w:rPr>
          <w:i/>
          <w:iCs/>
        </w:rPr>
        <w:t xml:space="preserve"> </w:t>
      </w:r>
      <w:r>
        <w:rPr>
          <w:i/>
          <w:iCs/>
        </w:rPr>
        <w:t xml:space="preserve">genuinely easier to measure than an arbitrary subset of the same size?</w:t>
      </w:r>
      <w:r>
        <w:t xml:space="preserve"> </w:t>
      </w:r>
      <w:r>
        <w:t xml:space="preserve">If</w:t>
      </w:r>
      <w:r>
        <w:t xml:space="preserve"> </w:t>
      </w:r>
      <w:r>
        <w:t xml:space="preserve">it is, the abstention rule is doing something real. If it is not, the</w:t>
      </w:r>
      <w:r>
        <w:t xml:space="preserve"> </w:t>
      </w:r>
      <w:r>
        <w:t xml:space="preserve">protocol is discarding hard pairs and paying for the privilege in coverage.</w:t>
      </w:r>
      <w:r>
        <w:t xml:space="preserve"> </w:t>
      </w:r>
      <w:r>
        <w:t xml:space="preserve">Answering that requires a counterfactual that respects the dependence in the</w:t>
      </w:r>
      <w:r>
        <w:t xml:space="preserve"> </w:t>
      </w:r>
      <w:r>
        <w:t xml:space="preserve">data, and this paper constructs two size-matched nulls for each tolerance.</w:t>
      </w:r>
    </w:p>
    <w:bookmarkEnd w:id="15"/>
    <w:bookmarkStart w:id="16" w:name="why-the-validation-is-synthetic"/>
    <w:p>
      <w:pPr>
        <w:pStyle w:val="Heading3"/>
      </w:pPr>
      <w:r>
        <w:t xml:space="preserve">1.4 Why the validation is synthetic</w:t>
      </w:r>
    </w:p>
    <w:p>
      <w:pPr>
        <w:pStyle w:val="FirstParagraph"/>
      </w:pPr>
      <w:r>
        <w:t xml:space="preserve">The obvious way to answer the previous question is with real quotes. This study does not use them. Option quotes with quote-level timestamps are licensed, no license permitting publication of results derived from them was obtained, and so no market data enters the paper. Options market data is not freely redistributable.</w:t>
      </w:r>
      <w:r>
        <w:t xml:space="preserve"> </w:t>
      </w:r>
      <w:r>
        <w:t xml:space="preserve">The alternative taken here is to make the</w:t>
      </w:r>
      <w:r>
        <w:t xml:space="preserve"> </w:t>
      </w:r>
      <w:r>
        <w:rPr>
          <w:i/>
          <w:iCs/>
        </w:rPr>
        <w:t xml:space="preserve">method</w:t>
      </w:r>
      <w:r>
        <w:t xml:space="preserve"> </w:t>
      </w:r>
      <w:r>
        <w:t xml:space="preserve">the object of validation</w:t>
      </w:r>
      <w:r>
        <w:t xml:space="preserve"> </w:t>
      </w:r>
      <w:r>
        <w:t xml:space="preserve">and to give the method a test a real market could not have provided. A</w:t>
      </w:r>
      <w:r>
        <w:t xml:space="preserve"> </w:t>
      </w:r>
      <w:r>
        <w:t xml:space="preserve">synthetic market can be constructed in which the true call–put implied</w:t>
      </w:r>
      <w:r>
        <w:t xml:space="preserve"> </w:t>
      </w:r>
      <w:r>
        <w:t xml:space="preserve">volatility spread is defined</w:t>
      </w:r>
      <w:r>
        <w:t xml:space="preserve"> </w:t>
      </w:r>
      <w:r>
        <w:rPr>
          <w:i/>
          <w:iCs/>
        </w:rPr>
        <w:t xml:space="preserve">before</w:t>
      </w:r>
      <w:r>
        <w:t xml:space="preserve"> </w:t>
      </w:r>
      <w:r>
        <w:t xml:space="preserve">any quote exists. The generator draws</w:t>
      </w:r>
      <w:r>
        <w:t xml:space="preserve"> </w:t>
      </w:r>
      <w:r>
        <w:t xml:space="preserve">fair values, inverts them under the same map the protocol uses, and thereby</w:t>
      </w:r>
      <w:r>
        <w:t xml:space="preserve"> </w:t>
      </w:r>
      <w:r>
        <w:t xml:space="preserve">knows the truth; only then does it round to a tick, add a spread, jitter the</w:t>
      </w:r>
      <w:r>
        <w:t xml:space="preserve"> </w:t>
      </w:r>
      <w:r>
        <w:t xml:space="preserve">timestamps and inject defects. In a real market the protocol can be assessed</w:t>
      </w:r>
      <w:r>
        <w:t xml:space="preserve"> </w:t>
      </w:r>
      <w:r>
        <w:t xml:space="preserve">for coverage and stability, but never for accuracy, because the truth is</w:t>
      </w:r>
      <w:r>
        <w:t xml:space="preserve"> </w:t>
      </w:r>
      <w:r>
        <w:t xml:space="preserve">unknown; in the benchmark it can be assessed for all three.</w:t>
      </w:r>
      <w:r>
        <w:t xml:space="preserve"> </w:t>
      </w:r>
      <w:r>
        <w:t xml:space="preserve">This is not a substitute for a market study, and the paper does not present it as one. It supports a narrower claim: that the measurement</w:t>
      </w:r>
      <w:r>
        <w:t xml:space="preserve"> </w:t>
      </w:r>
      <w:r>
        <w:t xml:space="preserve">machinery behaves as specified. Section 7.2 states the non-claims, and they</w:t>
      </w:r>
      <w:r>
        <w:t xml:space="preserve"> </w:t>
      </w:r>
      <w:r>
        <w:t xml:space="preserve">bind the abstract and the conclusion.</w:t>
      </w:r>
    </w:p>
    <w:bookmarkEnd w:id="16"/>
    <w:bookmarkStart w:id="17" w:name="contributions"/>
    <w:p>
      <w:pPr>
        <w:pStyle w:val="Heading3"/>
      </w:pPr>
      <w:r>
        <w:t xml:space="preserve">1.5 Contributions</w:t>
      </w:r>
    </w:p>
    <w:p>
      <w:pPr>
        <w:pStyle w:val="Compact"/>
        <w:numPr>
          <w:ilvl w:val="0"/>
          <w:numId w:val="1002"/>
        </w:numPr>
      </w:pPr>
      <w:r>
        <w:rPr>
          <w:b/>
          <w:bCs/>
        </w:rPr>
        <w:t xml:space="preserve">An abstention-aware measurement protocol with a closed status</w:t>
      </w:r>
      <w:r>
        <w:rPr>
          <w:b/>
          <w:bCs/>
        </w:rPr>
        <w:t xml:space="preserve"> </w:t>
      </w:r>
      <w:r>
        <w:rPr>
          <w:b/>
          <w:bCs/>
        </w:rPr>
        <w:t xml:space="preserve">taxonomy.</w:t>
      </w:r>
      <w:r>
        <w:t xml:space="preserve"> </w:t>
      </w:r>
      <w:r>
        <w:t xml:space="preserve">Declining to answer a question the data cannot support, and</w:t>
      </w:r>
      <w:r>
        <w:t xml:space="preserve"> </w:t>
      </w:r>
      <w:r>
        <w:t xml:space="preserve">reporting that refusal, is the optimum reject rule of the</w:t>
      </w:r>
      <w:r>
        <w:t xml:space="preserve"> </w:t>
      </w:r>
      <w:r>
        <w:t xml:space="preserve">pattern-recognition literature (Chow, 1970) applied to measurement.</w:t>
      </w:r>
      <w:r>
        <w:t xml:space="preserve"> </w:t>
      </w:r>
      <w:r>
        <w:t xml:space="preserve">Every attempted quote pair receives exactly one terminal status,</w:t>
      </w:r>
      <w:r>
        <w:t xml:space="preserve"> </w:t>
      </w:r>
      <w:r>
        <w:t xml:space="preserve">the counts are reconciled against the attempted total, and a residual fails</w:t>
      </w:r>
      <w:r>
        <w:t xml:space="preserve"> </w:t>
      </w:r>
      <w:r>
        <w:t xml:space="preserve">the run. Nothing can be dropped silently.</w:t>
      </w:r>
    </w:p>
    <w:p>
      <w:pPr>
        <w:pStyle w:val="Compact"/>
        <w:numPr>
          <w:ilvl w:val="0"/>
          <w:numId w:val="1002"/>
        </w:numPr>
      </w:pPr>
      <w:r>
        <w:rPr>
          <w:b/>
          <w:bCs/>
        </w:rPr>
        <w:t xml:space="preserve">A size-matched null test for an abstention rule.</w:t>
      </w:r>
      <w:r>
        <w:t xml:space="preserve"> </w:t>
      </w:r>
      <w:r>
        <w:t xml:space="preserve">A pair null drawn</w:t>
      </w:r>
      <w:r>
        <w:t xml:space="preserve"> </w:t>
      </w:r>
      <w:r>
        <w:t xml:space="preserve">uniformly over the scored universe and a day-block null that preserves the</w:t>
      </w:r>
      <w:r>
        <w:t xml:space="preserve"> </w:t>
      </w:r>
      <w:r>
        <w:t xml:space="preserve">within-day dependence the study’s own intervals respect; the block null is</w:t>
      </w:r>
      <w:r>
        <w:t xml:space="preserve"> </w:t>
      </w:r>
      <w:r>
        <w:t xml:space="preserve">the conservative test and is reported as primary.</w:t>
      </w:r>
    </w:p>
    <w:p>
      <w:pPr>
        <w:pStyle w:val="Compact"/>
        <w:numPr>
          <w:ilvl w:val="0"/>
          <w:numId w:val="1002"/>
        </w:numPr>
      </w:pPr>
      <w:r>
        <w:rPr>
          <w:b/>
          <w:bCs/>
        </w:rPr>
        <w:t xml:space="preserve">A discipline for reporting the protocol’s own advantage.</w:t>
      </w:r>
      <w:r>
        <w:t xml:space="preserve"> </w:t>
      </w:r>
      <w:r>
        <w:t xml:space="preserve">The paper</w:t>
      </w:r>
      <w:r>
        <w:t xml:space="preserve"> </w:t>
      </w:r>
      <w:r>
        <w:t xml:space="preserve">reports the identity that the protocol and the raw midpoint coincide on the</w:t>
      </w:r>
      <w:r>
        <w:t xml:space="preserve"> </w:t>
      </w:r>
      <w:r>
        <w:t xml:space="preserve">common set, and requires every own-set comparison to carry the frontier</w:t>
      </w:r>
      <w:r>
        <w:t xml:space="preserve"> </w:t>
      </w:r>
      <w:r>
        <w:t xml:space="preserve">p-values that say whether the selected set beats an arbitrary set of the</w:t>
      </w:r>
      <w:r>
        <w:t xml:space="preserve"> </w:t>
      </w:r>
      <w:r>
        <w:t xml:space="preserve">same size.</w:t>
      </w:r>
    </w:p>
    <w:p>
      <w:pPr>
        <w:pStyle w:val="Compact"/>
        <w:numPr>
          <w:ilvl w:val="0"/>
          <w:numId w:val="1002"/>
        </w:numPr>
      </w:pPr>
      <w:r>
        <w:rPr>
          <w:b/>
          <w:bCs/>
        </w:rPr>
        <w:t xml:space="preserve">A declared synthetic ground-truth benchmark with a rule tally in</w:t>
      </w:r>
      <w:r>
        <w:rPr>
          <w:b/>
          <w:bCs/>
        </w:rPr>
        <w:t xml:space="preserve"> </w:t>
      </w:r>
      <w:r>
        <w:rPr>
          <w:b/>
          <w:bCs/>
        </w:rPr>
        <w:t xml:space="preserve">which one rule fails.</w:t>
      </w:r>
      <w:r>
        <w:t xml:space="preserve"> </w:t>
      </w:r>
      <w:r>
        <w:t xml:space="preserve">The generator, settings, seeds, specification grid,</w:t>
      </w:r>
      <w:r>
        <w:t xml:space="preserve"> </w:t>
      </w:r>
      <w:r>
        <w:t xml:space="preserve">null construction and decision rules were fixed in an addendum</w:t>
      </w:r>
      <w:r>
        <w:t xml:space="preserve"> </w:t>
      </w:r>
      <w:r>
        <w:t xml:space="preserve">dated 22 October 2026, the same day as the sweep manifest, and the tally reports</w:t>
      </w:r>
      <w:r>
        <w:t xml:space="preserve"> </w:t>
      </w:r>
      <w:r>
        <w:t xml:space="preserve">which rules passed and which did not, with the same prominence.</w:t>
      </w:r>
    </w:p>
    <w:bookmarkEnd w:id="17"/>
    <w:bookmarkEnd w:id="18"/>
    <w:bookmarkStart w:id="25" w:name="the-measurement-problem"/>
    <w:p>
      <w:pPr>
        <w:pStyle w:val="Heading2"/>
      </w:pPr>
      <w:r>
        <w:t xml:space="preserve">2. The measurement problem</w:t>
      </w:r>
    </w:p>
    <w:bookmarkStart w:id="19" w:name="what-a-cpiv-is-made-of"/>
    <w:p>
      <w:pPr>
        <w:pStyle w:val="Heading3"/>
      </w:pPr>
      <w:r>
        <w:t xml:space="preserve">2.1 What a CPIV is made of</w:t>
      </w:r>
    </w:p>
    <w:p>
      <w:pPr>
        <w:pStyle w:val="FirstParagraph"/>
      </w:pPr>
      <w:r>
        <w:t xml:space="preserve">Let</w:t>
      </w:r>
      <w:r>
        <w:t xml:space="preserve"> </w:t>
      </w:r>
      <w:r>
        <w:rPr>
          <w:i/>
          <w:iCs/>
        </w:rPr>
        <w:t xml:space="preserve">C</w:t>
      </w:r>
      <w:r>
        <w:t xml:space="preserve"> </w:t>
      </w:r>
      <w:r>
        <w:t xml:space="preserve">and</w:t>
      </w:r>
      <w:r>
        <w:t xml:space="preserve"> </w:t>
      </w:r>
      <w:r>
        <w:rPr>
          <w:i/>
          <w:iCs/>
        </w:rPr>
        <w:t xml:space="preserve">P</w:t>
      </w:r>
      <w:r>
        <w:t xml:space="preserve"> </w:t>
      </w:r>
      <w:r>
        <w:t xml:space="preserve">denote a call and a put on the same underlying, with the</w:t>
      </w:r>
      <w:r>
        <w:t xml:space="preserve"> </w:t>
      </w:r>
      <w:r>
        <w:t xml:space="preserve">same strike</w:t>
      </w:r>
      <w:r>
        <w:t xml:space="preserve"> </w:t>
      </w:r>
      <w:r>
        <w:rPr>
          <w:i/>
          <w:iCs/>
        </w:rPr>
        <w:t xml:space="preserve">K</w:t>
      </w:r>
      <w:r>
        <w:t xml:space="preserve">, expiry</w:t>
      </w:r>
      <w:r>
        <w:t xml:space="preserve"> </w:t>
      </w:r>
      <w:r>
        <w:rPr>
          <w:i/>
          <w:iCs/>
        </w:rPr>
        <w:t xml:space="preserve">T</w:t>
      </w:r>
      <w:r>
        <w:t xml:space="preserve">, exercise style and contract terms, quoted at a</w:t>
      </w:r>
      <w:r>
        <w:t xml:space="preserve"> </w:t>
      </w:r>
      <w:r>
        <w:t xml:space="preserve">common time. Write</w:t>
      </w:r>
      <w:r>
        <w:t xml:space="preserve"> </w:t>
      </w:r>
      <w:r>
        <w:rPr>
          <w:i/>
          <w:iCs/>
        </w:rPr>
        <w:t xml:space="preserve">σ_C</w:t>
      </w:r>
      <w:r>
        <w:t xml:space="preserve"> </w:t>
      </w:r>
      <w:r>
        <w:t xml:space="preserve">and</w:t>
      </w:r>
      <w:r>
        <w:t xml:space="preserve"> </w:t>
      </w:r>
      <w:r>
        <w:rPr>
          <w:i/>
          <w:iCs/>
        </w:rPr>
        <w:t xml:space="preserve">σ_P</w:t>
      </w:r>
      <w:r>
        <w:t xml:space="preserve"> </w:t>
      </w:r>
      <w:r>
        <w:t xml:space="preserve">for the implied volatilities recovered</w:t>
      </w:r>
      <w:r>
        <w:t xml:space="preserve"> </w:t>
      </w:r>
      <w:r>
        <w:t xml:space="preserve">from the two quotes under a common pricing map, and CPIV = 100 × (σ_C − σ_P)</w:t>
      </w:r>
      <w:r>
        <w:t xml:space="preserve"> </w:t>
      </w:r>
      <w:r>
        <w:t xml:space="preserve">in percentage points of volatility. For a European pair under the</w:t>
      </w:r>
      <w:r>
        <w:t xml:space="preserve"> </w:t>
      </w:r>
      <w:r>
        <w:t xml:space="preserve">Black–Scholes–Merton map (Black &amp; Scholes, 1973), both legs are determined</w:t>
      </w:r>
      <w:r>
        <w:t xml:space="preserve"> </w:t>
      </w:r>
      <w:r>
        <w:t xml:space="preserve">by the same five inputs — spot, strike, maturity, rate and dividend yield —</w:t>
      </w:r>
      <w:r>
        <w:t xml:space="preserve"> </w:t>
      </w:r>
      <w:r>
        <w:t xml:space="preserve">so</w:t>
      </w:r>
      <w:r>
        <w:t xml:space="preserve"> </w:t>
      </w:r>
      <w:r>
        <w:rPr>
          <w:i/>
          <w:iCs/>
        </w:rPr>
        <w:t xml:space="preserve">σ_C</w:t>
      </w:r>
      <w:r>
        <w:t xml:space="preserve"> </w:t>
      </w:r>
      <w:r>
        <w:t xml:space="preserve">and</w:t>
      </w:r>
      <w:r>
        <w:t xml:space="preserve"> </w:t>
      </w:r>
      <w:r>
        <w:rPr>
          <w:i/>
          <w:iCs/>
        </w:rPr>
        <w:t xml:space="preserve">σ_P</w:t>
      </w:r>
      <w:r>
        <w:t xml:space="preserve"> </w:t>
      </w:r>
      <w:r>
        <w:t xml:space="preserve">are two noisy readings of the same object, and their</w:t>
      </w:r>
      <w:r>
        <w:t xml:space="preserve"> </w:t>
      </w:r>
      <w:r>
        <w:t xml:space="preserve">difference measures the</w:t>
      </w:r>
      <w:r>
        <w:t xml:space="preserve"> </w:t>
      </w:r>
      <w:r>
        <w:rPr>
          <w:i/>
          <w:iCs/>
        </w:rPr>
        <w:t xml:space="preserve">inconsistency</w:t>
      </w:r>
      <w:r>
        <w:t xml:space="preserve"> </w:t>
      </w:r>
      <w:r>
        <w:t xml:space="preserve">of the two quotes with the model.</w:t>
      </w:r>
      <w:r>
        <w:t xml:space="preserve"> </w:t>
      </w:r>
      <w:r>
        <w:t xml:space="preserve">Two features matter for what follows. First, the difference is a difference</w:t>
      </w:r>
      <w:r>
        <w:t xml:space="preserve"> </w:t>
      </w:r>
      <w:r>
        <w:t xml:space="preserve">of inverted quantities, so an error in either leg is amplified by the</w:t>
      </w:r>
      <w:r>
        <w:t xml:space="preserve"> </w:t>
      </w:r>
      <w:r>
        <w:t xml:space="preserve">inverse of that leg’s vega. Second, because both legs are inverted from</w:t>
      </w:r>
      <w:r>
        <w:t xml:space="preserve"> </w:t>
      </w:r>
      <w:r>
        <w:t xml:space="preserve">intervals rather than points, the CPIV inherits the width of both quote</w:t>
      </w:r>
      <w:r>
        <w:t xml:space="preserve"> </w:t>
      </w:r>
      <w:r>
        <w:t xml:space="preserve">intervals. Write the two half-spreads in price units as</w:t>
      </w:r>
      <w:r>
        <w:t xml:space="preserve"> </w:t>
      </w:r>
      <w:r>
        <w:rPr>
          <w:i/>
          <w:iCs/>
        </w:rPr>
        <w:t xml:space="preserve">h_C</w:t>
      </w:r>
      <w:r>
        <w:t xml:space="preserve"> </w:t>
      </w:r>
      <w:r>
        <w:t xml:space="preserve">and</w:t>
      </w:r>
      <w:r>
        <w:t xml:space="preserve"> </w:t>
      </w:r>
      <w:r>
        <w:rPr>
          <w:i/>
          <w:iCs/>
        </w:rPr>
        <w:t xml:space="preserve">h_P</w:t>
      </w:r>
      <w:r>
        <w:t xml:space="preserve"> </w:t>
      </w:r>
      <w:r>
        <w:t xml:space="preserve">and</w:t>
      </w:r>
      <w:r>
        <w:t xml:space="preserve"> </w:t>
      </w:r>
      <w:r>
        <w:t xml:space="preserve">the two vegas as</w:t>
      </w:r>
      <w:r>
        <w:t xml:space="preserve"> </w:t>
      </w:r>
      <w:r>
        <w:rPr>
          <w:i/>
          <w:iCs/>
        </w:rPr>
        <w:t xml:space="preserve">v_C</w:t>
      </w:r>
      <w:r>
        <w:t xml:space="preserve"> </w:t>
      </w:r>
      <w:r>
        <w:t xml:space="preserve">and</w:t>
      </w:r>
      <w:r>
        <w:t xml:space="preserve"> </w:t>
      </w:r>
      <w:r>
        <w:rPr>
          <w:i/>
          <w:iCs/>
        </w:rPr>
        <w:t xml:space="preserve">v_P</w:t>
      </w:r>
      <w:r>
        <w:t xml:space="preserve">; to first order the CPIV is uncertain by an</w:t>
      </w:r>
      <w:r>
        <w:t xml:space="preserve"> </w:t>
      </w:r>
      <w:r>
        <w:t xml:space="preserve">amount of the order of 100 × (h_C / v_C + h_P / v_P). A wing option, with a</w:t>
      </w:r>
      <w:r>
        <w:t xml:space="preserve"> </w:t>
      </w:r>
      <w:r>
        <w:t xml:space="preserve">small vega and a wide spread, contributes a large and roughly constant</w:t>
      </w:r>
      <w:r>
        <w:t xml:space="preserve"> </w:t>
      </w:r>
      <w:r>
        <w:t xml:space="preserve">uncertainty to the CPIV regardless of the true value. This is the mechanism</w:t>
      </w:r>
      <w:r>
        <w:t xml:space="preserve"> </w:t>
      </w:r>
      <w:r>
        <w:t xml:space="preserve">behind most of the dispersion in a CPIV table, and it is why that dispersion</w:t>
      </w:r>
      <w:r>
        <w:t xml:space="preserve"> </w:t>
      </w:r>
      <w:r>
        <w:t xml:space="preserve">is not interpretable as a market quantity.</w:t>
      </w:r>
    </w:p>
    <w:bookmarkEnd w:id="19"/>
    <w:bookmarkStart w:id="20" w:name="identification-is-not-estimation"/>
    <w:p>
      <w:pPr>
        <w:pStyle w:val="Heading3"/>
      </w:pPr>
      <w:r>
        <w:t xml:space="preserve">2.2 Identification is not estimation</w:t>
      </w:r>
    </w:p>
    <w:p>
      <w:pPr>
        <w:pStyle w:val="FirstParagraph"/>
      </w:pPr>
      <w:r>
        <w:t xml:space="preserve">Two activities are kept separate throughout.</w:t>
      </w:r>
      <w:r>
        <w:t xml:space="preserve"> </w:t>
      </w:r>
      <w:r>
        <w:rPr>
          <w:i/>
          <w:iCs/>
        </w:rPr>
        <w:t xml:space="preserve">Estimation</w:t>
      </w:r>
      <w:r>
        <w:t xml:space="preserve"> </w:t>
      </w:r>
      <w:r>
        <w:t xml:space="preserve">is recovering a</w:t>
      </w:r>
      <w:r>
        <w:t xml:space="preserve"> </w:t>
      </w:r>
      <w:r>
        <w:t xml:space="preserve">value well, given that a value exists.</w:t>
      </w:r>
      <w:r>
        <w:t xml:space="preserve"> </w:t>
      </w:r>
      <w:r>
        <w:rPr>
          <w:i/>
          <w:iCs/>
        </w:rPr>
        <w:t xml:space="preserve">Identification</w:t>
      </w:r>
      <w:r>
        <w:t xml:space="preserve"> </w:t>
      </w:r>
      <w:r>
        <w:t xml:space="preserve">is establishing</w:t>
      </w:r>
      <w:r>
        <w:t xml:space="preserve"> </w:t>
      </w:r>
      <w:r>
        <w:t xml:space="preserve">that a value exists at all, given the data. The raw midpoint pipeline</w:t>
      </w:r>
      <w:r>
        <w:t xml:space="preserve"> </w:t>
      </w:r>
      <w:r>
        <w:t xml:space="preserve">performs an estimation and silently assumes identification. A midpoint of a</w:t>
      </w:r>
      <w:r>
        <w:t xml:space="preserve"> </w:t>
      </w:r>
      <w:r>
        <w:t xml:space="preserve">bid and an ask, inverted and differenced, is a well-defined number; nothing</w:t>
      </w:r>
      <w:r>
        <w:t xml:space="preserve"> </w:t>
      </w:r>
      <w:r>
        <w:t xml:space="preserve">in the operation establishes that the number is close to anything.</w:t>
      </w:r>
      <w:r>
        <w:t xml:space="preserve"> </w:t>
      </w:r>
      <w:r>
        <w:t xml:space="preserve">The two can come apart badly. Consider a deep out-of-the-money put whose</w:t>
      </w:r>
      <w:r>
        <w:t xml:space="preserve"> </w:t>
      </w:r>
      <w:r>
        <w:t xml:space="preserve">time value is a few ticks wide but whose vega is tiny. The midpoint of that</w:t>
      </w:r>
      <w:r>
        <w:t xml:space="preserve"> </w:t>
      </w:r>
      <w:r>
        <w:t xml:space="preserve">put’s interval can be inverted to a volatility that is off by a large</w:t>
      </w:r>
      <w:r>
        <w:t xml:space="preserve"> </w:t>
      </w:r>
      <w:r>
        <w:t xml:space="preserve">relative amount, because the inversion divides a small price error by a</w:t>
      </w:r>
      <w:r>
        <w:t xml:space="preserve"> </w:t>
      </w:r>
      <w:r>
        <w:t xml:space="preserve">small vega. The resulting CPIV is dominated by the error of the leg that</w:t>
      </w:r>
      <w:r>
        <w:t xml:space="preserve"> </w:t>
      </w:r>
      <w:r>
        <w:t xml:space="preserve">cannot be measured, and it is reported with the same confidence as every</w:t>
      </w:r>
      <w:r>
        <w:t xml:space="preserve"> </w:t>
      </w:r>
      <w:r>
        <w:t xml:space="preserve">other number in the table.</w:t>
      </w:r>
      <w:r>
        <w:t xml:space="preserve"> </w:t>
      </w:r>
      <w:r>
        <w:t xml:space="preserve">The classical response is to declare in advance what would count as a</w:t>
      </w:r>
      <w:r>
        <w:t xml:space="preserve"> </w:t>
      </w:r>
      <w:r>
        <w:t xml:space="preserve">successful measurement, and to report a null result where the criterion is</w:t>
      </w:r>
      <w:r>
        <w:t xml:space="preserve"> </w:t>
      </w:r>
      <w:r>
        <w:t xml:space="preserve">not met. That is the structure adopted here: the protocol answers</w:t>
      </w:r>
      <w:r>
        <w:t xml:space="preserve"> </w:t>
      </w:r>
      <w:r>
        <w:t xml:space="preserve">“is this</w:t>
      </w:r>
      <w:r>
        <w:t xml:space="preserve"> </w:t>
      </w:r>
      <w:r>
        <w:t xml:space="preserve">pair’s CPIV identified at tolerance</w:t>
      </w:r>
      <w:r>
        <w:t xml:space="preserve"> </w:t>
      </w:r>
      <w:r>
        <w:rPr>
          <w:i/>
          <w:iCs/>
        </w:rPr>
        <w:t xml:space="preserve">t</w:t>
      </w:r>
      <w:r>
        <w:t xml:space="preserve">?”</w:t>
      </w:r>
      <w:r>
        <w:t xml:space="preserve"> </w:t>
      </w:r>
      <w:r>
        <w:t xml:space="preserve">for each pair, in a way a</w:t>
      </w:r>
      <w:r>
        <w:t xml:space="preserve"> </w:t>
      </w:r>
      <w:r>
        <w:t xml:space="preserve">downstream user cannot mistake for a measurement.</w:t>
      </w:r>
    </w:p>
    <w:bookmarkEnd w:id="20"/>
    <w:bookmarkStart w:id="21" w:name="the-two-objects-a-protocol-could-produce"/>
    <w:p>
      <w:pPr>
        <w:pStyle w:val="Heading3"/>
      </w:pPr>
      <w:r>
        <w:t xml:space="preserve">2.3 The two objects a protocol could produce</w:t>
      </w:r>
    </w:p>
    <w:p>
      <w:pPr>
        <w:pStyle w:val="FirstParagraph"/>
      </w:pPr>
      <w:r>
        <w:t xml:space="preserve">A protocol can produce a</w:t>
      </w:r>
      <w:r>
        <w:t xml:space="preserve"> </w:t>
      </w:r>
      <w:r>
        <w:rPr>
          <w:i/>
          <w:iCs/>
        </w:rPr>
        <w:t xml:space="preserve">second estimator</w:t>
      </w:r>
      <w:r>
        <w:t xml:space="preserve">: a different way of computing</w:t>
      </w:r>
      <w:r>
        <w:t xml:space="preserve"> </w:t>
      </w:r>
      <w:r>
        <w:t xml:space="preserve">the CPIV, expected to be closer to the truth, whose common-set difference</w:t>
      </w:r>
      <w:r>
        <w:t xml:space="preserve"> </w:t>
      </w:r>
      <w:r>
        <w:t xml:space="preserve">would be non-trivial and whose fall in common-set error would be evidence</w:t>
      </w:r>
      <w:r>
        <w:t xml:space="preserve"> </w:t>
      </w:r>
      <w:r>
        <w:t xml:space="preserve">about the estimator.</w:t>
      </w:r>
      <w:r>
        <w:t xml:space="preserve"> </w:t>
      </w:r>
      <w:r>
        <w:t xml:space="preserve">Or it can produce a</w:t>
      </w:r>
      <w:r>
        <w:t xml:space="preserve"> </w:t>
      </w:r>
      <w:r>
        <w:rPr>
          <w:i/>
          <w:iCs/>
        </w:rPr>
        <w:t xml:space="preserve">labeling device</w:t>
      </w:r>
      <w:r>
        <w:t xml:space="preserve">: a rule that selects a subset and</w:t>
      </w:r>
      <w:r>
        <w:t xml:space="preserve"> </w:t>
      </w:r>
      <w:r>
        <w:t xml:space="preserve">declines to speak about the rest, whose output on the selected subset is</w:t>
      </w:r>
      <w:r>
        <w:t xml:space="preserve"> </w:t>
      </w:r>
      <w:r>
        <w:t xml:space="preserve">whatever the original estimator would have produced there. The common-set</w:t>
      </w:r>
      <w:r>
        <w:t xml:space="preserve"> </w:t>
      </w:r>
      <w:r>
        <w:t xml:space="preserve">difference is exactly zero, and any advantage is a function of which pairs</w:t>
      </w:r>
      <w:r>
        <w:t xml:space="preserve"> </w:t>
      </w:r>
      <w:r>
        <w:t xml:space="preserve">were selected.</w:t>
      </w:r>
      <w:r>
        <w:t xml:space="preserve"> </w:t>
      </w:r>
      <w:r>
        <w:t xml:space="preserve">The protocol here is of the second kind. The problem is not</w:t>
      </w:r>
      <w:r>
        <w:t xml:space="preserve"> </w:t>
      </w:r>
      <w:r>
        <w:t xml:space="preserve">“the midpoint is</w:t>
      </w:r>
      <w:r>
        <w:t xml:space="preserve"> </w:t>
      </w:r>
      <w:r>
        <w:t xml:space="preserve">the wrong number”</w:t>
      </w:r>
      <w:r>
        <w:t xml:space="preserve"> </w:t>
      </w:r>
      <w:r>
        <w:t xml:space="preserve">but</w:t>
      </w:r>
      <w:r>
        <w:t xml:space="preserve"> </w:t>
      </w:r>
      <w:r>
        <w:t xml:space="preserve">“the midpoint is a number about which nothing can be</w:t>
      </w:r>
      <w:r>
        <w:t xml:space="preserve"> </w:t>
      </w:r>
      <w:r>
        <w:t xml:space="preserve">asserted without knowing whether it is determined”</w:t>
      </w:r>
      <w:r>
        <w:t xml:space="preserve">. Its advantage must</w:t>
      </w:r>
      <w:r>
        <w:t xml:space="preserve"> </w:t>
      </w:r>
      <w:r>
        <w:t xml:space="preserve">therefore be tested against a counterfactual, because the common-set</w:t>
      </w:r>
      <w:r>
        <w:t xml:space="preserve"> </w:t>
      </w:r>
      <w:r>
        <w:t xml:space="preserve">comparison is vacuous by construction (Section 2.5).</w:t>
      </w:r>
    </w:p>
    <w:bookmarkEnd w:id="21"/>
    <w:bookmarkStart w:id="22" w:name="X04f9b5ac76590d70cc962be29cda161b857747d"/>
    <w:p>
      <w:pPr>
        <w:pStyle w:val="Heading3"/>
      </w:pPr>
      <w:r>
        <w:t xml:space="preserve">2.4 Declared baselines and the comparison that matters</w:t>
      </w:r>
    </w:p>
    <w:p>
      <w:pPr>
        <w:pStyle w:val="FirstParagraph"/>
      </w:pPr>
      <w:r>
        <w:t xml:space="preserve">Five baselines are declared in the addendum: the raw midpoint CPIV, with no filter beyond the existence of a finite root; the bound-filtered midpoint CPIV; the bid–ask endpoint interval, reported as an interval rather than a point; the parity residual, labeled throughout as algebraically dependent on the CPIV and so not an independent validation; and the abstention-aware protocol itself, with its certified subset, its abstentions and its funnel. Section 6 scores three of them: the raw midpoint, the bound-filtered midpoint and the protocol. The endpoint interval and the parity residual are described only.</w:t>
      </w:r>
      <w:r>
        <w:t xml:space="preserve"> </w:t>
      </w:r>
      <w:r>
        <w:t xml:space="preserve">The comparison the paper is built around is between the fifth and the first,</w:t>
      </w:r>
      <w:r>
        <w:t xml:space="preserve"> </w:t>
      </w:r>
      <w:r>
        <w:t xml:space="preserve">reported in two forms that must not be confused. On the</w:t>
      </w:r>
      <w:r>
        <w:t xml:space="preserve"> </w:t>
      </w:r>
      <w:r>
        <w:rPr>
          <w:b/>
          <w:bCs/>
        </w:rPr>
        <w:t xml:space="preserve">own set</w:t>
      </w:r>
      <w:r>
        <w:t xml:space="preserve">, each</w:t>
      </w:r>
      <w:r>
        <w:t xml:space="preserve"> </w:t>
      </w:r>
      <w:r>
        <w:t xml:space="preserve">method is evaluated on the pairs it can use: the protocol’s own set is small</w:t>
      </w:r>
      <w:r>
        <w:t xml:space="preserve"> </w:t>
      </w:r>
      <w:r>
        <w:t xml:space="preserve">and accurate, the raw midpoint’s is large and inaccurate, and the difference</w:t>
      </w:r>
      <w:r>
        <w:t xml:space="preserve"> </w:t>
      </w:r>
      <w:r>
        <w:t xml:space="preserve">is the selection effect. On the</w:t>
      </w:r>
      <w:r>
        <w:t xml:space="preserve"> </w:t>
      </w:r>
      <w:r>
        <w:rPr>
          <w:b/>
          <w:bCs/>
        </w:rPr>
        <w:t xml:space="preserve">common set</w:t>
      </w:r>
      <w:r>
        <w:t xml:space="preserve">, both are evaluated on the</w:t>
      </w:r>
      <w:r>
        <w:t xml:space="preserve"> </w:t>
      </w:r>
      <w:r>
        <w:t xml:space="preserve">pairs they can both use, the values are identical, and the difference is</w:t>
      </w:r>
      <w:r>
        <w:t xml:space="preserve"> </w:t>
      </w:r>
      <w:r>
        <w:t xml:space="preserve">exactly zero.</w:t>
      </w:r>
    </w:p>
    <w:bookmarkEnd w:id="22"/>
    <w:bookmarkStart w:id="23" w:name="Xa500941e941e8c4d1551506135b7b66ac7f3ae0"/>
    <w:p>
      <w:pPr>
        <w:pStyle w:val="Heading3"/>
      </w:pPr>
      <w:r>
        <w:t xml:space="preserve">2.5 The counterfactual: size-matched random subsets</w:t>
      </w:r>
    </w:p>
    <w:p>
      <w:pPr>
        <w:pStyle w:val="FirstParagraph"/>
      </w:pPr>
      <w:r>
        <w:t xml:space="preserve">Suppose the protocol certifies</w:t>
      </w:r>
      <w:r>
        <w:t xml:space="preserve"> </w:t>
      </w:r>
      <w:r>
        <w:rPr>
          <w:i/>
          <w:iCs/>
        </w:rPr>
        <w:t xml:space="preserve">k</w:t>
      </w:r>
      <w:r>
        <w:t xml:space="preserve"> </w:t>
      </w:r>
      <w:r>
        <w:t xml:space="preserve">of the</w:t>
      </w:r>
      <w:r>
        <w:t xml:space="preserve"> </w:t>
      </w:r>
      <w:r>
        <w:rPr>
          <w:i/>
          <w:iCs/>
        </w:rPr>
        <w:t xml:space="preserve">n</w:t>
      </w:r>
      <w:r>
        <w:t xml:space="preserve"> </w:t>
      </w:r>
      <w:r>
        <w:t xml:space="preserve">scored pairs. Its own-set mean</w:t>
      </w:r>
      <w:r>
        <w:t xml:space="preserve"> </w:t>
      </w:r>
      <w:r>
        <w:t xml:space="preserve">absolute error is the mean absolute error of those</w:t>
      </w:r>
      <w:r>
        <w:t xml:space="preserve"> </w:t>
      </w:r>
      <w:r>
        <w:rPr>
          <w:i/>
          <w:iCs/>
        </w:rPr>
        <w:t xml:space="preserve">k</w:t>
      </w:r>
      <w:r>
        <w:t xml:space="preserve"> </w:t>
      </w:r>
      <w:r>
        <w:t xml:space="preserve">pairs. The natural</w:t>
      </w:r>
      <w:r>
        <w:t xml:space="preserve"> </w:t>
      </w:r>
      <w:r>
        <w:t xml:space="preserve">null is the distribution of that statistic over subsets of size</w:t>
      </w:r>
      <w:r>
        <w:t xml:space="preserve"> </w:t>
      </w:r>
      <w:r>
        <w:rPr>
          <w:i/>
          <w:iCs/>
        </w:rPr>
        <w:t xml:space="preserve">k</w:t>
      </w:r>
      <w:r>
        <w:t xml:space="preserve"> </w:t>
      </w:r>
      <w:r>
        <w:t xml:space="preserve">drawn at</w:t>
      </w:r>
      <w:r>
        <w:t xml:space="preserve"> </w:t>
      </w:r>
      <w:r>
        <w:t xml:space="preserve">random from the same</w:t>
      </w:r>
      <w:r>
        <w:t xml:space="preserve"> </w:t>
      </w:r>
      <w:r>
        <w:rPr>
          <w:i/>
          <w:iCs/>
        </w:rPr>
        <w:t xml:space="preserve">n</w:t>
      </w:r>
      <w:r>
        <w:t xml:space="preserve"> </w:t>
      </w:r>
      <w:r>
        <w:t xml:space="preserve">pairs. Two nulls are constructed, and the</w:t>
      </w:r>
      <w:r>
        <w:t xml:space="preserve"> </w:t>
      </w:r>
      <w:r>
        <w:t xml:space="preserve">difference between them is the point.</w:t>
      </w:r>
      <w:r>
        <w:t xml:space="preserve"> </w:t>
      </w:r>
      <w:r>
        <w:t xml:space="preserve">The</w:t>
      </w:r>
      <w:r>
        <w:t xml:space="preserve"> </w:t>
      </w:r>
      <w:r>
        <w:rPr>
          <w:b/>
          <w:bCs/>
        </w:rPr>
        <w:t xml:space="preserve">pair null</w:t>
      </w:r>
      <w:r>
        <w:t xml:space="preserve"> </w:t>
      </w:r>
      <w:r>
        <w:t xml:space="preserve">draws</w:t>
      </w:r>
      <w:r>
        <w:t xml:space="preserve"> </w:t>
      </w:r>
      <w:r>
        <w:rPr>
          <w:i/>
          <w:iCs/>
        </w:rPr>
        <w:t xml:space="preserve">k</w:t>
      </w:r>
      <w:r>
        <w:t xml:space="preserve"> </w:t>
      </w:r>
      <w:r>
        <w:t xml:space="preserve">pairs uniformly without replacement from the</w:t>
      </w:r>
      <w:r>
        <w:t xml:space="preserve"> </w:t>
      </w:r>
      <w:r>
        <w:t xml:space="preserve">scored universe. It asks whether the certified set is better than a random</w:t>
      </w:r>
      <w:r>
        <w:t xml:space="preserve"> </w:t>
      </w:r>
      <w:r>
        <w:t xml:space="preserve">selection of the same size, if selections were independent of everything. It</w:t>
      </w:r>
      <w:r>
        <w:t xml:space="preserve"> </w:t>
      </w:r>
      <w:r>
        <w:t xml:space="preserve">is the natural null, and the one most likely to favor the protocol,</w:t>
      </w:r>
      <w:r>
        <w:t xml:space="preserve"> </w:t>
      </w:r>
      <w:r>
        <w:t xml:space="preserve">because it ignores that pairs from the same underlying-day are not</w:t>
      </w:r>
      <w:r>
        <w:t xml:space="preserve"> </w:t>
      </w:r>
      <w:r>
        <w:t xml:space="preserve">independent.</w:t>
      </w:r>
      <w:r>
        <w:t xml:space="preserve"> </w:t>
      </w:r>
      <w:r>
        <w:t xml:space="preserve">The</w:t>
      </w:r>
      <w:r>
        <w:t xml:space="preserve"> </w:t>
      </w:r>
      <w:r>
        <w:rPr>
          <w:b/>
          <w:bCs/>
        </w:rPr>
        <w:t xml:space="preserve">day-block null</w:t>
      </w:r>
      <w:r>
        <w:t xml:space="preserve"> </w:t>
      </w:r>
      <w:r>
        <w:t xml:space="preserve">draws whole underlying-days with replacement until</w:t>
      </w:r>
      <w:r>
        <w:t xml:space="preserve"> </w:t>
      </w:r>
      <w:r>
        <w:rPr>
          <w:i/>
          <w:iCs/>
        </w:rPr>
        <w:t xml:space="preserve">k</w:t>
      </w:r>
      <w:r>
        <w:t xml:space="preserve"> </w:t>
      </w:r>
      <w:r>
        <w:t xml:space="preserve">pairs have been selected, so every draw respects the within-day</w:t>
      </w:r>
      <w:r>
        <w:t xml:space="preserve"> </w:t>
      </w:r>
      <w:r>
        <w:t xml:space="preserve">dependence of the quotes. It asks the harder question: is the certified set</w:t>
      </w:r>
      <w:r>
        <w:t xml:space="preserve"> </w:t>
      </w:r>
      <w:r>
        <w:t xml:space="preserve">better than a random selection that respects the same dependence? A protocol that beats a pair</w:t>
      </w:r>
      <w:r>
        <w:t xml:space="preserve"> </w:t>
      </w:r>
      <w:r>
        <w:t xml:space="preserve">null but not a day-block null has selected a set whose advantage comes from</w:t>
      </w:r>
      <w:r>
        <w:t xml:space="preserve"> </w:t>
      </w:r>
      <w:r>
        <w:t xml:space="preserve">its correlation with the day’s overall quote quality rather than from its</w:t>
      </w:r>
      <w:r>
        <w:t xml:space="preserve"> </w:t>
      </w:r>
      <w:r>
        <w:t xml:space="preserve">own per-pair criteria.</w:t>
      </w:r>
      <w:r>
        <w:t xml:space="preserve"> </w:t>
      </w:r>
      <w:r>
        <w:t xml:space="preserve">Both nulls are Monte Carlo with a declared seed and a declared number of</w:t>
      </w:r>
      <w:r>
        <w:t xml:space="preserve"> </w:t>
      </w:r>
      <w:r>
        <w:t xml:space="preserve">trials. The null distribution is a bootstrap distribution in the sense of</w:t>
      </w:r>
      <w:r>
        <w:t xml:space="preserve"> </w:t>
      </w:r>
      <w:r>
        <w:t xml:space="preserve">Efron and Tibshirani (1993), the day-block draw is a block resampling</w:t>
      </w:r>
      <w:r>
        <w:t xml:space="preserve"> </w:t>
      </w:r>
      <w:r>
        <w:t xml:space="preserve">scheme for dependent data of the kind developed by Politis and Romano</w:t>
      </w:r>
      <w:r>
        <w:t xml:space="preserve"> </w:t>
      </w:r>
      <w:r>
        <w:t xml:space="preserve">(1994), and the reported p-value is the add-one estimator (Davison &amp;</w:t>
      </w:r>
      <w:r>
        <w:t xml:space="preserve"> </w:t>
      </w:r>
      <w:r>
        <w:t xml:space="preserve">Hinkley, 1997). The</w:t>
      </w:r>
      <w:r>
        <w:t xml:space="preserve"> </w:t>
      </w:r>
      <w:r>
        <w:t xml:space="preserve">day-block null is the primary test, because it is the conservative one and</w:t>
      </w:r>
      <w:r>
        <w:t xml:space="preserve"> </w:t>
      </w:r>
      <w:r>
        <w:t xml:space="preserve">because the block resampling is the same device used for the study’s own</w:t>
      </w:r>
      <w:r>
        <w:t xml:space="preserve"> </w:t>
      </w:r>
      <w:r>
        <w:t xml:space="preserve">confidence intervals.</w:t>
      </w:r>
      <w:r>
        <w:t xml:space="preserve"> </w:t>
      </w:r>
      <w:r>
        <w:t xml:space="preserve">One implementation detail affects the result. A block draw must match the certified subset exactly in size, so the</w:t>
      </w:r>
      <w:r>
        <w:t xml:space="preserve"> </w:t>
      </w:r>
      <w:r>
        <w:t xml:space="preserve">final block of a draw may be taken in part, its members chosen at random.</w:t>
      </w:r>
      <w:r>
        <w:t xml:space="preserve"> </w:t>
      </w:r>
      <w:r>
        <w:t xml:space="preserve">Taking them systematically — always the first</w:t>
      </w:r>
      <w:r>
        <w:t xml:space="preserve"> </w:t>
      </w:r>
      <w:r>
        <w:rPr>
          <w:i/>
          <w:iCs/>
        </w:rPr>
        <w:t xml:space="preserve">m</w:t>
      </w:r>
      <w:r>
        <w:t xml:space="preserve"> </w:t>
      </w:r>
      <w:r>
        <w:t xml:space="preserve">members, say — would bias</w:t>
      </w:r>
      <w:r>
        <w:t xml:space="preserve"> </w:t>
      </w:r>
      <w:r>
        <w:t xml:space="preserve">the null towards the earliest pairs of a day, which are not exchangeable</w:t>
      </w:r>
      <w:r>
        <w:t xml:space="preserve"> </w:t>
      </w:r>
      <w:r>
        <w:t xml:space="preserve">with the rest, and would make the null artificially easy to beat.</w:t>
      </w:r>
    </w:p>
    <w:bookmarkEnd w:id="23"/>
    <w:bookmarkStart w:id="24" w:name="Xcf605a9d973606e37f9649626a045a694f98b75"/>
    <w:p>
      <w:pPr>
        <w:pStyle w:val="Heading3"/>
      </w:pPr>
      <w:r>
        <w:t xml:space="preserve">2.6 What the microstructure does to the coverage</w:t>
      </w:r>
    </w:p>
    <w:p>
      <w:pPr>
        <w:pStyle w:val="FirstParagraph"/>
      </w:pPr>
      <w:r>
        <w:t xml:space="preserve">The protocol’s coverage — the share of attempted pairs it certifies — is a</w:t>
      </w:r>
      <w:r>
        <w:t xml:space="preserve"> </w:t>
      </w:r>
      <w:r>
        <w:t xml:space="preserve">property of the protocol</w:t>
      </w:r>
      <w:r>
        <w:t xml:space="preserve"> </w:t>
      </w:r>
      <w:r>
        <w:rPr>
          <w:i/>
          <w:iCs/>
        </w:rPr>
        <w:t xml:space="preserve">and</w:t>
      </w:r>
      <w:r>
        <w:t xml:space="preserve"> </w:t>
      </w:r>
      <w:r>
        <w:t xml:space="preserve">of the market it meets. Two rules control it</w:t>
      </w:r>
      <w:r>
        <w:t xml:space="preserve"> </w:t>
      </w:r>
      <w:r>
        <w:t xml:space="preserve">directly. The resolution scale requires the option’s out-of-the-money-</w:t>
      </w:r>
      <w:r>
        <w:t xml:space="preserve"> </w:t>
      </w:r>
      <w:r>
        <w:t xml:space="preserve">equivalent time value to exceed a declared multiple of the tick before the</w:t>
      </w:r>
      <w:r>
        <w:t xml:space="preserve"> </w:t>
      </w:r>
      <w:r>
        <w:t xml:space="preserve">pair is treated as resolvable at all; the tolerance requires the displacement</w:t>
      </w:r>
      <w:r>
        <w:t xml:space="preserve"> </w:t>
      </w:r>
      <w:r>
        <w:t xml:space="preserve">of the CPIV from its endpoints to be at most the declared tolerance.</w:t>
      </w:r>
      <w:r>
        <w:t xml:space="preserve"> </w:t>
      </w:r>
      <w:r>
        <w:t xml:space="preserve">Both interact with microstructure in a way that is not a matter of degree.</w:t>
      </w:r>
      <w:r>
        <w:t xml:space="preserve"> </w:t>
      </w:r>
      <w:r>
        <w:t xml:space="preserve">If the tick is coarse relative to the time value of a wing option, the</w:t>
      </w:r>
      <w:r>
        <w:t xml:space="preserve"> </w:t>
      </w:r>
      <w:r>
        <w:t xml:space="preserve">resolution rule abstains on that option whatever the tolerance. If the</w:t>
      </w:r>
      <w:r>
        <w:t xml:space="preserve"> </w:t>
      </w:r>
      <w:r>
        <w:t xml:space="preserve">quotes are wide, the endpoint interval is wide, and the tolerance rule</w:t>
      </w:r>
      <w:r>
        <w:t xml:space="preserve"> </w:t>
      </w:r>
      <w:r>
        <w:t xml:space="preserve">abstains on nearly everything. A protocol that certifies a small,</w:t>
      </w:r>
      <w:r>
        <w:t xml:space="preserve"> </w:t>
      </w:r>
      <w:r>
        <w:t xml:space="preserve">well-identified fraction of a liquid market may certify almost nothing of an</w:t>
      </w:r>
      <w:r>
        <w:t xml:space="preserve"> </w:t>
      </w:r>
      <w:r>
        <w:t xml:space="preserve">illiquid or coarsely quoted one, and a reader who carries a coverage figure</w:t>
      </w:r>
      <w:r>
        <w:t xml:space="preserve"> </w:t>
      </w:r>
      <w:r>
        <w:t xml:space="preserve">from one market to another will be wrong.</w:t>
      </w:r>
    </w:p>
    <w:bookmarkEnd w:id="24"/>
    <w:bookmarkEnd w:id="25"/>
    <w:bookmarkStart w:id="33" w:name="the-protocol"/>
    <w:p>
      <w:pPr>
        <w:pStyle w:val="Heading2"/>
      </w:pPr>
      <w:r>
        <w:t xml:space="preserve">3. The protocol</w:t>
      </w:r>
    </w:p>
    <w:bookmarkStart w:id="26" w:name="pair-construction"/>
    <w:p>
      <w:pPr>
        <w:pStyle w:val="Heading3"/>
      </w:pPr>
      <w:r>
        <w:t xml:space="preserve">3.1 Pair construction</w:t>
      </w:r>
    </w:p>
    <w:p>
      <w:pPr>
        <w:pStyle w:val="FirstParagraph"/>
      </w:pPr>
      <w:r>
        <w:t xml:space="preserve">An observation is a matched call–put pair. Two quotes are a pair only when</w:t>
      </w:r>
      <w:r>
        <w:t xml:space="preserve"> </w:t>
      </w:r>
      <w:r>
        <w:t xml:space="preserve">they agree on underlying, strike, expiry, multiplier, exercise style and</w:t>
      </w:r>
      <w:r>
        <w:t xml:space="preserve"> </w:t>
      </w:r>
      <w:r>
        <w:t xml:space="preserve">settlement convention; a disagreement in any of these fields is recorded as</w:t>
      </w:r>
      <w:r>
        <w:t xml:space="preserve"> </w:t>
      </w:r>
      <w:r>
        <w:t xml:space="preserve">a contract mismatch, with the offending field named, and the pair is</w:t>
      </w:r>
      <w:r>
        <w:t xml:space="preserve"> </w:t>
      </w:r>
      <w:r>
        <w:t xml:space="preserve">excluded from measurement without being dropped from the denominator.</w:t>
      </w:r>
      <w:r>
        <w:t xml:space="preserve"> </w:t>
      </w:r>
      <w:r>
        <w:t xml:space="preserve">Each quote carries a timestamp, and each pair carries three lags: the</w:t>
      </w:r>
      <w:r>
        <w:t xml:space="preserve"> </w:t>
      </w:r>
      <w:r>
        <w:t xml:space="preserve">call–put lag, the call–spot lag and the put–spot lag. A pair whose lags</w:t>
      </w:r>
      <w:r>
        <w:t xml:space="preserve"> </w:t>
      </w:r>
      <w:r>
        <w:t xml:space="preserve">exceed the declared synchronization tolerance is a timing mismatch, and the</w:t>
      </w:r>
      <w:r>
        <w:t xml:space="preserve"> </w:t>
      </w:r>
      <w:r>
        <w:t xml:space="preserve">lags are retained on the record so the exclusion can be audited rather than</w:t>
      </w:r>
      <w:r>
        <w:t xml:space="preserve"> </w:t>
      </w:r>
      <w:r>
        <w:t xml:space="preserve">trusted.</w:t>
      </w:r>
      <w:r>
        <w:t xml:space="preserve"> </w:t>
      </w:r>
      <w:r>
        <w:t xml:space="preserve">The spot used for inversion is the underlying’s own quote at its own</w:t>
      </w:r>
      <w:r>
        <w:t xml:space="preserve"> </w:t>
      </w:r>
      <w:r>
        <w:t xml:space="preserve">timestamp, not a last-traded price or a value carried forward. This rules</w:t>
      </w:r>
      <w:r>
        <w:t xml:space="preserve"> </w:t>
      </w:r>
      <w:r>
        <w:t xml:space="preserve">out end-of-day files, which give every option the same snapshot and make the</w:t>
      </w:r>
      <w:r>
        <w:t xml:space="preserve"> </w:t>
      </w:r>
      <w:r>
        <w:t xml:space="preserve">timing stage vacuous.</w:t>
      </w:r>
    </w:p>
    <w:bookmarkEnd w:id="26"/>
    <w:bookmarkStart w:id="27" w:name="the-inversion-contract"/>
    <w:p>
      <w:pPr>
        <w:pStyle w:val="Heading3"/>
      </w:pPr>
      <w:r>
        <w:t xml:space="preserve">3.2 The inversion contract</w:t>
      </w:r>
    </w:p>
    <w:p>
      <w:pPr>
        <w:pStyle w:val="FirstParagraph"/>
      </w:pPr>
      <w:r>
        <w:t xml:space="preserve">Both legs are inverted under the same European Black–Scholes–Merton map</w:t>
      </w:r>
      <w:r>
        <w:t xml:space="preserve"> </w:t>
      </w:r>
      <w:r>
        <w:t xml:space="preserve">(Black &amp; Scholes, 1973; Merton, 1973), whose state-contingent foundation is</w:t>
      </w:r>
      <w:r>
        <w:t xml:space="preserve"> </w:t>
      </w:r>
      <w:r>
        <w:t xml:space="preserve">due to Breeden and Litzenberger (1978), with a single declared contract:</w:t>
      </w:r>
    </w:p>
    <w:p>
      <w:pPr>
        <w:pStyle w:val="Compact"/>
        <w:numPr>
          <w:ilvl w:val="0"/>
          <w:numId w:val="1003"/>
        </w:numPr>
      </w:pPr>
      <w:r>
        <w:t xml:space="preserve">the root bracket is decimal implied volatility in [10⁻⁸, 5];</w:t>
      </w:r>
    </w:p>
    <w:p>
      <w:pPr>
        <w:pStyle w:val="Compact"/>
        <w:numPr>
          <w:ilvl w:val="0"/>
          <w:numId w:val="1003"/>
        </w:numPr>
      </w:pPr>
      <w:r>
        <w:t xml:space="preserve">the solver is bisection, with at most 64 iterations;</w:t>
      </w:r>
    </w:p>
    <w:p>
      <w:pPr>
        <w:pStyle w:val="Compact"/>
        <w:numPr>
          <w:ilvl w:val="0"/>
          <w:numId w:val="1003"/>
        </w:numPr>
      </w:pPr>
      <w:r>
        <w:t xml:space="preserve">no price is ever clipped to a bracket, and no root is reported from</w:t>
      </w:r>
      <w:r>
        <w:t xml:space="preserve"> </w:t>
      </w:r>
      <w:r>
        <w:t xml:space="preserve">outside it;</w:t>
      </w:r>
    </w:p>
    <w:p>
      <w:pPr>
        <w:pStyle w:val="Compact"/>
        <w:numPr>
          <w:ilvl w:val="0"/>
          <w:numId w:val="1003"/>
        </w:numPr>
      </w:pPr>
      <w:r>
        <w:t xml:space="preserve">a non-finite or negative price is rejected;</w:t>
      </w:r>
    </w:p>
    <w:p>
      <w:pPr>
        <w:pStyle w:val="Compact"/>
        <w:numPr>
          <w:ilvl w:val="0"/>
          <w:numId w:val="1003"/>
        </w:numPr>
      </w:pPr>
      <w:r>
        <w:t xml:space="preserve">a price within 10⁻¹⁰ of a European bound is rejected rather than inverted;</w:t>
      </w:r>
    </w:p>
    <w:p>
      <w:pPr>
        <w:pStyle w:val="Compact"/>
        <w:numPr>
          <w:ilvl w:val="0"/>
          <w:numId w:val="1003"/>
        </w:numPr>
      </w:pPr>
      <w:r>
        <w:t xml:space="preserve">the failure classes are named — invalid input, theoretical-bound</w:t>
      </w:r>
      <w:r>
        <w:t xml:space="preserve"> </w:t>
      </w:r>
      <w:r>
        <w:t xml:space="preserve">violation, near-bound guard, outside bracket, numerical — and recorded per</w:t>
      </w:r>
      <w:r>
        <w:t xml:space="preserve"> </w:t>
      </w:r>
      <w:r>
        <w:t xml:space="preserve">leg.</w:t>
      </w:r>
      <w:r>
        <w:t xml:space="preserve"> </w:t>
      </w:r>
      <w:r>
        <w:t xml:space="preserve">The rejection of near-bound prices deserves a note. The classical</w:t>
      </w:r>
      <w:r>
        <w:t xml:space="preserve"> </w:t>
      </w:r>
      <w:r>
        <w:t xml:space="preserve">approximation that the CPIV is the parity residual divided by the vega is</w:t>
      </w:r>
      <w:r>
        <w:t xml:space="preserve"> </w:t>
      </w:r>
      <w:r>
        <w:t xml:space="preserve">first-order accurate in the no-arbitrage interior (Hentschel, 2003, analyzes</w:t>
      </w:r>
      <w:r>
        <w:t xml:space="preserve"> </w:t>
      </w:r>
      <w:r>
        <w:t xml:space="preserve">the implied-volatility error that a price error induces directly); near the</w:t>
      </w:r>
      <w:r>
        <w:t xml:space="preserve"> </w:t>
      </w:r>
      <w:r>
        <w:t xml:space="preserve">boundary vega approaches zero and the error amplifies without bound. Prices</w:t>
      </w:r>
      <w:r>
        <w:t xml:space="preserve"> </w:t>
      </w:r>
      <w:r>
        <w:rPr>
          <w:i/>
          <w:iCs/>
        </w:rPr>
        <w:t xml:space="preserve">on</w:t>
      </w:r>
      <w:r>
        <w:t xml:space="preserve"> </w:t>
      </w:r>
      <w:r>
        <w:t xml:space="preserve">the bound are therefore precisely those for which the local</w:t>
      </w:r>
      <w:r>
        <w:t xml:space="preserve"> </w:t>
      </w:r>
      <w:r>
        <w:t xml:space="preserve">approximation is uninformative.</w:t>
      </w:r>
      <w:r>
        <w:t xml:space="preserve"> </w:t>
      </w:r>
      <w:r>
        <w:t xml:space="preserve">The map is European because it is the map common to both legs, and because</w:t>
      </w:r>
      <w:r>
        <w:t xml:space="preserve"> </w:t>
      </w:r>
      <w:r>
        <w:t xml:space="preserve">it is the map under which the synthetic truth is defined. Where the</w:t>
      </w:r>
      <w:r>
        <w:t xml:space="preserve"> </w:t>
      </w:r>
      <w:r>
        <w:t xml:space="preserve">underlying option is American — the case for most listed equity options —</w:t>
      </w:r>
      <w:r>
        <w:t xml:space="preserve"> </w:t>
      </w:r>
      <w:r>
        <w:t xml:space="preserve">the European map is an approximation for both legs, and the approximation</w:t>
      </w:r>
      <w:r>
        <w:t xml:space="preserve"> </w:t>
      </w:r>
      <w:r>
        <w:t xml:space="preserve">error is common to the two legs to first order and largely cancels in the</w:t>
      </w:r>
      <w:r>
        <w:t xml:space="preserve"> </w:t>
      </w:r>
      <w:r>
        <w:t xml:space="preserve">difference. Section 3.6 describes how the American exercise premium is</w:t>
      </w:r>
      <w:r>
        <w:t xml:space="preserve"> </w:t>
      </w:r>
      <w:r>
        <w:t xml:space="preserve">handled.</w:t>
      </w:r>
    </w:p>
    <w:bookmarkEnd w:id="27"/>
    <w:bookmarkStart w:id="28" w:name="the-resolution-rules"/>
    <w:p>
      <w:pPr>
        <w:pStyle w:val="Heading3"/>
      </w:pPr>
      <w:r>
        <w:t xml:space="preserve">3.3 The resolution rules</w:t>
      </w:r>
    </w:p>
    <w:p>
      <w:pPr>
        <w:pStyle w:val="FirstParagraph"/>
      </w:pPr>
      <w:r>
        <w:t xml:space="preserve">Certification is not a single test. Four rules must all be satisfied, and</w:t>
      </w:r>
      <w:r>
        <w:t xml:space="preserve"> </w:t>
      </w:r>
      <w:r>
        <w:t xml:space="preserve">each is a rule about whether the</w:t>
      </w:r>
      <w:r>
        <w:t xml:space="preserve"> </w:t>
      </w:r>
      <w:r>
        <w:rPr>
          <w:i/>
          <w:iCs/>
        </w:rPr>
        <w:t xml:space="preserve">market</w:t>
      </w:r>
      <w:r>
        <w:t xml:space="preserve"> </w:t>
      </w:r>
      <w:r>
        <w:t xml:space="preserve">says something rather than about</w:t>
      </w:r>
      <w:r>
        <w:t xml:space="preserve"> </w:t>
      </w:r>
      <w:r>
        <w:t xml:space="preserve">whether the</w:t>
      </w:r>
      <w:r>
        <w:t xml:space="preserve"> </w:t>
      </w:r>
      <w:r>
        <w:rPr>
          <w:i/>
          <w:iCs/>
        </w:rPr>
        <w:t xml:space="preserve">model</w:t>
      </w:r>
      <w:r>
        <w:t xml:space="preserve"> </w:t>
      </w:r>
      <w:r>
        <w:t xml:space="preserve">fits.</w:t>
      </w:r>
      <w:r>
        <w:t xml:space="preserve"> </w:t>
      </w:r>
      <w:r>
        <w:rPr>
          <w:b/>
          <w:bCs/>
        </w:rPr>
        <w:t xml:space="preserve">The time-value rule.</w:t>
      </w:r>
      <w:r>
        <w:t xml:space="preserve"> </w:t>
      </w:r>
      <w:r>
        <w:t xml:space="preserve">The out-of-the-money-equivalent time value of each</w:t>
      </w:r>
      <w:r>
        <w:t xml:space="preserve"> </w:t>
      </w:r>
      <w:r>
        <w:t xml:space="preserve">leg is computed and compared with the declared resolution scale, one tick by</w:t>
      </w:r>
      <w:r>
        <w:t xml:space="preserve"> </w:t>
      </w:r>
      <w:r>
        <w:t xml:space="preserve">default. The rule separates</w:t>
      </w:r>
      <w:r>
        <w:t xml:space="preserve"> </w:t>
      </w:r>
      <w:r>
        <w:t xml:space="preserve">“the option is too cheap to say anything about”</w:t>
      </w:r>
      <w:r>
        <w:t xml:space="preserve"> </w:t>
      </w:r>
      <w:r>
        <w:t xml:space="preserve">from</w:t>
      </w:r>
      <w:r>
        <w:t xml:space="preserve"> </w:t>
      </w:r>
      <w:r>
        <w:t xml:space="preserve">“the option says something, and the inversion recovers it”</w:t>
      </w:r>
      <w:r>
        <w:t xml:space="preserve">.</w:t>
      </w:r>
      <w:r>
        <w:t xml:space="preserve"> </w:t>
      </w:r>
      <w:r>
        <w:rPr>
          <w:b/>
          <w:bCs/>
        </w:rPr>
        <w:t xml:space="preserve">The finite-shock rule.</w:t>
      </w:r>
      <w:r>
        <w:t xml:space="preserve"> </w:t>
      </w:r>
      <w:r>
        <w:t xml:space="preserve">A declared positive shock and a declared negative</w:t>
      </w:r>
      <w:r>
        <w:t xml:space="preserve"> </w:t>
      </w:r>
      <w:r>
        <w:t xml:space="preserve">shock, each one tick of the quote grid (0.01 in the base market, 0.05 in the coarse-tick specification), are applied to the midpoint of each leg, and every shocked price must</w:t>
      </w:r>
      <w:r>
        <w:t xml:space="preserve"> </w:t>
      </w:r>
      <w:r>
        <w:t xml:space="preserve">produce a valid root. A pair failing under either sign has not been shown to</w:t>
      </w:r>
      <w:r>
        <w:t xml:space="preserve"> </w:t>
      </w:r>
      <w:r>
        <w:t xml:space="preserve">be locally invertible, and is treated as unresolved.</w:t>
      </w:r>
      <w:r>
        <w:t xml:space="preserve"> </w:t>
      </w:r>
      <w:r>
        <w:rPr>
          <w:b/>
          <w:bCs/>
        </w:rPr>
        <w:t xml:space="preserve">The endpoint rule.</w:t>
      </w:r>
      <w:r>
        <w:t xml:space="preserve"> </w:t>
      </w:r>
      <w:r>
        <w:t xml:space="preserve">The CPIV implied by the four combinations of bid and</w:t>
      </w:r>
      <w:r>
        <w:t xml:space="preserve"> </w:t>
      </w:r>
      <w:r>
        <w:t xml:space="preserve">ask endpoints is computed: the lowest from the call bid against the put ask,</w:t>
      </w:r>
      <w:r>
        <w:t xml:space="preserve"> </w:t>
      </w:r>
      <w:r>
        <w:t xml:space="preserve">the highest from the call ask against the put bid. If an endpoint has no</w:t>
      </w:r>
      <w:r>
        <w:t xml:space="preserve"> </w:t>
      </w:r>
      <w:r>
        <w:t xml:space="preserve">finite root, the range becomes one-sided and the pair becomes partially</w:t>
      </w:r>
      <w:r>
        <w:t xml:space="preserve"> </w:t>
      </w:r>
      <w:r>
        <w:t xml:space="preserve">resolved. No endpoint is imputed and no missing endpoint is interpolated.</w:t>
      </w:r>
      <w:r>
        <w:t xml:space="preserve"> </w:t>
      </w:r>
      <w:r>
        <w:t xml:space="preserve">The fourth rule is the tolerance rule, and it is what makes the abstention</w:t>
      </w:r>
      <w:r>
        <w:t xml:space="preserve"> </w:t>
      </w:r>
      <w:r>
        <w:t xml:space="preserve">decision rather than merely a resolution decision. Let the displacement be</w:t>
      </w:r>
      <w:r>
        <w:t xml:space="preserve"> </w:t>
      </w:r>
      <w:r>
        <w:t xml:space="preserve">the larger of the distances from the midpoint CPIV to the two endpoints. The</w:t>
      </w:r>
      <w:r>
        <w:t xml:space="preserve"> </w:t>
      </w:r>
      <w:r>
        <w:t xml:space="preserve">pair is</w:t>
      </w:r>
      <w:r>
        <w:t xml:space="preserve"> </w:t>
      </w:r>
      <w:r>
        <w:rPr>
          <w:i/>
          <w:iCs/>
        </w:rPr>
        <w:t xml:space="preserve">certified</w:t>
      </w:r>
      <w:r>
        <w:t xml:space="preserve"> </w:t>
      </w:r>
      <w:r>
        <w:t xml:space="preserve">when the displacement is at most the declared tolerance,</w:t>
      </w:r>
      <w:r>
        <w:t xml:space="preserve"> </w:t>
      </w:r>
      <w:r>
        <w:t xml:space="preserve">and</w:t>
      </w:r>
      <w:r>
        <w:t xml:space="preserve"> </w:t>
      </w:r>
      <w:r>
        <w:rPr>
          <w:i/>
          <w:iCs/>
        </w:rPr>
        <w:t xml:space="preserve">identified but outside tolerance</w:t>
      </w:r>
      <w:r>
        <w:t xml:space="preserve"> </w:t>
      </w:r>
      <w:r>
        <w:t xml:space="preserve">when it is larger. A pair failing the time-value or finite-shock rule is</w:t>
      </w:r>
      <w:r>
        <w:t xml:space="preserve"> </w:t>
      </w:r>
      <w:r>
        <w:rPr>
          <w:i/>
          <w:iCs/>
        </w:rPr>
        <w:t xml:space="preserve">unresolved</w:t>
      </w:r>
      <w:r>
        <w:t xml:space="preserve">. A pair identified outside the</w:t>
      </w:r>
      <w:r>
        <w:t xml:space="preserve"> </w:t>
      </w:r>
      <w:r>
        <w:t xml:space="preserve">tolerance still has a number; the protocol declines to certify that it is</w:t>
      </w:r>
      <w:r>
        <w:t xml:space="preserve"> </w:t>
      </w:r>
      <w:r>
        <w:t xml:space="preserve">determined to the standard asked for.</w:t>
      </w:r>
    </w:p>
    <w:bookmarkEnd w:id="28"/>
    <w:bookmarkStart w:id="29" w:name="X5c2e0588201c0f4999eb085b901ba38812821a5"/>
    <w:p>
      <w:pPr>
        <w:pStyle w:val="Heading3"/>
      </w:pPr>
      <w:r>
        <w:t xml:space="preserve">3.4 The status taxonomy and the reconciliation invariant</w:t>
      </w:r>
    </w:p>
    <w:p>
      <w:pPr>
        <w:pStyle w:val="FirstParagraph"/>
      </w:pPr>
      <w:r>
        <w:t xml:space="preserve">Every attempted pair ends in exactly one of seven terminal statuses:</w:t>
      </w:r>
      <w:r>
        <w:t xml:space="preserve"> </w:t>
      </w:r>
      <w:r>
        <w:rPr>
          <w:rStyle w:val="VerbatimChar"/>
        </w:rPr>
        <w:t xml:space="preserve">RESOLVED_WITHIN_TOLERANCE</w:t>
      </w:r>
      <w:r>
        <w:t xml:space="preserve">,</w:t>
      </w:r>
      <w:r>
        <w:t xml:space="preserve"> </w:t>
      </w:r>
      <w:r>
        <w:rPr>
          <w:rStyle w:val="VerbatimChar"/>
        </w:rPr>
        <w:t xml:space="preserve">IDENTIFIED_OUTSIDE_TOLERANCE</w:t>
      </w:r>
      <w:r>
        <w:t xml:space="preserve">,</w:t>
      </w:r>
      <w:r>
        <w:t xml:space="preserve"> </w:t>
      </w:r>
      <w:r>
        <w:rPr>
          <w:rStyle w:val="VerbatimChar"/>
        </w:rPr>
        <w:t xml:space="preserve">PARTIALLY_RESOLVED</w:t>
      </w:r>
      <w:r>
        <w:t xml:space="preserve">,</w:t>
      </w:r>
      <w:r>
        <w:t xml:space="preserve"> </w:t>
      </w:r>
      <w:r>
        <w:rPr>
          <w:rStyle w:val="VerbatimChar"/>
        </w:rPr>
        <w:t xml:space="preserve">UNRESOLVED</w:t>
      </w:r>
      <w:r>
        <w:t xml:space="preserve">,</w:t>
      </w:r>
      <w:r>
        <w:t xml:space="preserve"> </w:t>
      </w:r>
      <w:r>
        <w:rPr>
          <w:rStyle w:val="VerbatimChar"/>
        </w:rPr>
        <w:t xml:space="preserve">INVALID_INPUT</w:t>
      </w:r>
      <w:r>
        <w:t xml:space="preserve">,</w:t>
      </w:r>
      <w:r>
        <w:t xml:space="preserve"> </w:t>
      </w:r>
      <w:r>
        <w:rPr>
          <w:rStyle w:val="VerbatimChar"/>
        </w:rPr>
        <w:t xml:space="preserve">TIMING_MISMATCH</w:t>
      </w:r>
      <w:r>
        <w:t xml:space="preserve"> </w:t>
      </w:r>
      <w:r>
        <w:t xml:space="preserve">and</w:t>
      </w:r>
      <w:r>
        <w:t xml:space="preserve"> </w:t>
      </w:r>
      <w:r>
        <w:rPr>
          <w:rStyle w:val="VerbatimChar"/>
        </w:rPr>
        <w:t xml:space="preserve">CONTRACT_MISMATCH</w:t>
      </w:r>
      <w:r>
        <w:t xml:space="preserve">. Reason codes are stored separately from the terminal</w:t>
      </w:r>
      <w:r>
        <w:t xml:space="preserve"> </w:t>
      </w:r>
      <w:r>
        <w:t xml:space="preserve">status, so that a diagnostic can never stand in for a status. A terminal</w:t>
      </w:r>
      <w:r>
        <w:t xml:space="preserve"> </w:t>
      </w:r>
      <w:r>
        <w:t xml:space="preserve">status that contradicts the stage at which the pair failed is a</w:t>
      </w:r>
      <w:r>
        <w:t xml:space="preserve"> </w:t>
      </w:r>
      <w:r>
        <w:t xml:space="preserve">reconciliation error, and the run fails rather than continuing.</w:t>
      </w:r>
      <w:r>
        <w:t xml:space="preserve"> </w:t>
      </w:r>
      <w:r>
        <w:t xml:space="preserve">The reconciliation invariant is that the terminal counts sum to the</w:t>
      </w:r>
      <w:r>
        <w:t xml:space="preserve"> </w:t>
      </w:r>
      <w:r>
        <w:t xml:space="preserve">attempted count, and that each stage’s count equals the sum of the terminal</w:t>
      </w:r>
      <w:r>
        <w:t xml:space="preserve"> </w:t>
      </w:r>
      <w:r>
        <w:t xml:space="preserve">statuses downstream of it. A residual — a pair that entered the pipeline and</w:t>
      </w:r>
      <w:r>
        <w:t xml:space="preserve"> </w:t>
      </w:r>
      <w:r>
        <w:t xml:space="preserve">left no trace — fails the run. The funnel reports, for every stage, the</w:t>
      </w:r>
      <w:r>
        <w:t xml:space="preserve"> </w:t>
      </w:r>
      <w:r>
        <w:t xml:space="preserve">count, the share of attempted pairs, the share of the prior stage, and the</w:t>
      </w:r>
      <w:r>
        <w:t xml:space="preserve"> </w:t>
      </w:r>
      <w:r>
        <w:t xml:space="preserve">dominant rejection reason. Dropping a pair reports coverage conditional on the survivors, and the</w:t>
      </w:r>
      <w:r>
        <w:t xml:space="preserve"> </w:t>
      </w:r>
      <w:r>
        <w:t xml:space="preserve">survivorship depends on upstream decisions invisible in the final number; a</w:t>
      </w:r>
      <w:r>
        <w:t xml:space="preserve"> </w:t>
      </w:r>
      <w:r>
        <w:t xml:space="preserve">terminal status for everything gives coverage an unambiguous denominator and</w:t>
      </w:r>
      <w:r>
        <w:t xml:space="preserve"> </w:t>
      </w:r>
      <w:r>
        <w:t xml:space="preserve">a funnel that says where the pairs went.</w:t>
      </w:r>
    </w:p>
    <w:bookmarkEnd w:id="29"/>
    <w:bookmarkStart w:id="30" w:name="certification-and-abstention"/>
    <w:p>
      <w:pPr>
        <w:pStyle w:val="Heading3"/>
      </w:pPr>
      <w:r>
        <w:t xml:space="preserve">3.5 Certification and abstention</w:t>
      </w:r>
    </w:p>
    <w:p>
      <w:pPr>
        <w:pStyle w:val="FirstParagraph"/>
      </w:pPr>
      <w:r>
        <w:t xml:space="preserve">A pair is certified when all four rules are satisfied, so that its</w:t>
      </w:r>
      <w:r>
        <w:t xml:space="preserve"> </w:t>
      </w:r>
      <w:r>
        <w:t xml:space="preserve">displacement is at most the tolerance. The certified set is what the protocol</w:t>
      </w:r>
      <w:r>
        <w:t xml:space="preserve"> </w:t>
      </w:r>
      <w:r>
        <w:t xml:space="preserve">reports.</w:t>
      </w:r>
      <w:r>
        <w:t xml:space="preserve"> </w:t>
      </w:r>
      <w:r>
        <w:t xml:space="preserve">The abstained set is everything else, and it is not empty by construction. In</w:t>
      </w:r>
      <w:r>
        <w:t xml:space="preserve"> </w:t>
      </w:r>
      <w:r>
        <w:t xml:space="preserve">the development draw of the benchmark,</w:t>
      </w:r>
      <w:r>
        <w:t xml:space="preserve"> </w:t>
      </w:r>
      <w:r>
        <w:t xml:space="preserve">72 of 894</w:t>
      </w:r>
      <w:r>
        <w:t xml:space="preserve"> </w:t>
      </w:r>
      <w:r>
        <w:t xml:space="preserve">attempted pairs were certified, and</w:t>
      </w:r>
      <w:r>
        <w:t xml:space="preserve"> </w:t>
      </w:r>
      <w:r>
        <w:t xml:space="preserve">719 were identified but outside</w:t>
      </w:r>
      <w:r>
        <w:t xml:space="preserve"> </w:t>
      </w:r>
      <w:r>
        <w:t xml:space="preserve">the tolerance, with the remainder split across partially resolved, invalid</w:t>
      </w:r>
      <w:r>
        <w:t xml:space="preserve"> </w:t>
      </w:r>
      <w:r>
        <w:t xml:space="preserve">input, timing mismatch and contract mismatch.</w:t>
      </w:r>
      <w:r>
        <w:t xml:space="preserve"> </w:t>
      </w:r>
      <w:r>
        <w:t xml:space="preserve">The abstention rate is not a cost to be minimized. It is the price of the</w:t>
      </w:r>
      <w:r>
        <w:t xml:space="preserve"> </w:t>
      </w:r>
      <w:r>
        <w:t xml:space="preserve">claim being made, and the paper’s secondary outcome (Section 6.9) puts a</w:t>
      </w:r>
      <w:r>
        <w:t xml:space="preserve"> </w:t>
      </w:r>
      <w:r>
        <w:t xml:space="preserve">number on what that price buys in the one place a downstream user needs a</w:t>
      </w:r>
      <w:r>
        <w:t xml:space="preserve"> </w:t>
      </w:r>
      <w:r>
        <w:rPr>
          <w:i/>
          <w:iCs/>
        </w:rPr>
        <w:t xml:space="preserve">set</w:t>
      </w:r>
      <w:r>
        <w:t xml:space="preserve"> </w:t>
      </w:r>
      <w:r>
        <w:t xml:space="preserve">rather than a</w:t>
      </w:r>
      <w:r>
        <w:t xml:space="preserve"> </w:t>
      </w:r>
      <w:r>
        <w:rPr>
          <w:i/>
          <w:iCs/>
        </w:rPr>
        <w:t xml:space="preserve">number</w:t>
      </w:r>
      <w:r>
        <w:t xml:space="preserve">: the calibration of a volatility surface.</w:t>
      </w:r>
    </w:p>
    <w:bookmarkEnd w:id="30"/>
    <w:bookmarkStart w:id="31" w:name="handling-the-american-exercise-premium"/>
    <w:p>
      <w:pPr>
        <w:pStyle w:val="Heading3"/>
      </w:pPr>
      <w:r>
        <w:t xml:space="preserve">3.6 Handling the American exercise premium</w:t>
      </w:r>
    </w:p>
    <w:p>
      <w:pPr>
        <w:pStyle w:val="FirstParagraph"/>
      </w:pPr>
      <w:r>
        <w:t xml:space="preserve">Most listed equity options are American, and the European inversion map</w:t>
      </w:r>
      <w:r>
        <w:t xml:space="preserve"> </w:t>
      </w:r>
      <w:r>
        <w:t xml:space="preserve">ignores the early-exercise premium the put leg carries. If that premium is</w:t>
      </w:r>
      <w:r>
        <w:t xml:space="preserve"> </w:t>
      </w:r>
      <w:r>
        <w:t xml:space="preserve">material, the two legs are being inverted under a model that is wrong for</w:t>
      </w:r>
      <w:r>
        <w:t xml:space="preserve"> </w:t>
      </w:r>
      <w:r>
        <w:t xml:space="preserve">one of them, and the resulting CPIV is contaminated.</w:t>
      </w:r>
    </w:p>
    <w:p>
      <w:pPr>
        <w:pStyle w:val="BodyText"/>
      </w:pPr>
      <w:r>
        <w:t xml:space="preserve">Two facts limit the damage. The premium is a</w:t>
      </w:r>
      <w:r>
        <w:t xml:space="preserve"> </w:t>
      </w:r>
      <w:r>
        <w:rPr>
          <w:i/>
          <w:iCs/>
        </w:rPr>
        <w:t xml:space="preserve">common</w:t>
      </w:r>
      <w:r>
        <w:t xml:space="preserve"> </w:t>
      </w:r>
      <w:r>
        <w:t xml:space="preserve">function of the</w:t>
      </w:r>
      <w:r>
        <w:t xml:space="preserve"> </w:t>
      </w:r>
      <w:r>
        <w:t xml:space="preserve">underlying’s parameters and the contract’s moneyness and maturity, so it</w:t>
      </w:r>
      <w:r>
        <w:t xml:space="preserve"> </w:t>
      </w:r>
      <w:r>
        <w:t xml:space="preserve">does not vary arbitrarily across the strike grid, and a surface fitted to a</w:t>
      </w:r>
      <w:r>
        <w:t xml:space="preserve"> </w:t>
      </w:r>
      <w:r>
        <w:t xml:space="preserve">contaminated set is biased in a structured rather than a random way. And</w:t>
      </w:r>
      <w:r>
        <w:t xml:space="preserve"> </w:t>
      </w:r>
      <w:r>
        <w:t xml:space="preserve">its magnitude is small relative to the uncertainty contributed by the quote</w:t>
      </w:r>
      <w:r>
        <w:t xml:space="preserve"> </w:t>
      </w:r>
      <w:r>
        <w:t xml:space="preserve">spread, for most of the parameter range in which the protocol certifies</w:t>
      </w:r>
      <w:r>
        <w:t xml:space="preserve"> </w:t>
      </w:r>
      <w:r>
        <w:t xml:space="preserve">anything at all.</w:t>
      </w:r>
    </w:p>
    <w:p>
      <w:pPr>
        <w:pStyle w:val="BodyText"/>
      </w:pPr>
      <w:r>
        <w:t xml:space="preserve">The benchmark makes this explicit rather than assuming it away. The</w:t>
      </w:r>
      <w:r>
        <w:t xml:space="preserve"> </w:t>
      </w:r>
      <w:r>
        <w:t xml:space="preserve">synthetic put leg is genuinely American, priced by an 800-step binomial</w:t>
      </w:r>
      <w:r>
        <w:t xml:space="preserve"> </w:t>
      </w:r>
      <w:r>
        <w:t xml:space="preserve">lattice (Cox et al., 1979) rather than by a simulation-based American</w:t>
      </w:r>
      <w:r>
        <w:t xml:space="preserve"> </w:t>
      </w:r>
      <w:r>
        <w:t xml:space="preserve">pricer (Longstaff &amp; Schwartz, 2001), because the premium has to be exact for</w:t>
      </w:r>
      <w:r>
        <w:t xml:space="preserve"> </w:t>
      </w:r>
      <w:r>
        <w:t xml:space="preserve">the truth to be exact. The call leg is worth exactly its</w:t>
      </w:r>
      <w:r>
        <w:t xml:space="preserve"> </w:t>
      </w:r>
      <w:r>
        <w:t xml:space="preserve">European value because it carries no early-exercise premium without a</w:t>
      </w:r>
      <w:r>
        <w:t xml:space="preserve"> </w:t>
      </w:r>
      <w:r>
        <w:t xml:space="preserve">dividend. The true CPIV is therefore non-zero by construction — it is the</w:t>
      </w:r>
      <w:r>
        <w:t xml:space="preserve"> </w:t>
      </w:r>
      <w:r>
        <w:t xml:space="preserve">volatility-equivalent of the exercise premium — and the protocol’s certified</w:t>
      </w:r>
      <w:r>
        <w:t xml:space="preserve"> </w:t>
      </w:r>
      <w:r>
        <w:t xml:space="preserve">values recover it, with a median absolute error of</w:t>
      </w:r>
      <w:r>
        <w:t xml:space="preserve"> </w:t>
      </w:r>
      <w:r>
        <w:t xml:space="preserve">0.007 percentage points in the</w:t>
      </w:r>
      <w:r>
        <w:t xml:space="preserve"> </w:t>
      </w:r>
      <w:r>
        <w:t xml:space="preserve">development draw (Section 6.2).</w:t>
      </w:r>
    </w:p>
    <w:p>
      <w:pPr>
        <w:pStyle w:val="BodyText"/>
      </w:pPr>
      <w:r>
        <w:t xml:space="preserve">The alternative treatment, an American fallback for the put leg, is</w:t>
      </w:r>
      <w:r>
        <w:t xml:space="preserve"> </w:t>
      </w:r>
      <w:r>
        <w:t xml:space="preserve">available and is a protocol change under the addendum rather than an</w:t>
      </w:r>
      <w:r>
        <w:t xml:space="preserve"> </w:t>
      </w:r>
      <w:r>
        <w:t xml:space="preserve">extension of the results. It is not adopted here, because no market data has been examined to fix the exercise-style convention that would trigger it.</w:t>
      </w:r>
    </w:p>
    <w:bookmarkEnd w:id="31"/>
    <w:bookmarkStart w:id="32" w:name="the-calibration-input-set"/>
    <w:p>
      <w:pPr>
        <w:pStyle w:val="Heading3"/>
      </w:pPr>
      <w:r>
        <w:t xml:space="preserve">3.7 The calibration input set</w:t>
      </w:r>
    </w:p>
    <w:p>
      <w:pPr>
        <w:pStyle w:val="FirstParagraph"/>
      </w:pPr>
      <w:r>
        <w:t xml:space="preserve">The protocol’s abstention removes pairs from any downstream use that needs a</w:t>
      </w:r>
      <w:r>
        <w:t xml:space="preserve"> </w:t>
      </w:r>
      <w:r>
        <w:rPr>
          <w:i/>
          <w:iCs/>
        </w:rPr>
        <w:t xml:space="preserve">set</w:t>
      </w:r>
      <w:r>
        <w:t xml:space="preserve"> </w:t>
      </w:r>
      <w:r>
        <w:t xml:space="preserve">of CPIV values, most obviously the calibration of a volatility</w:t>
      </w:r>
      <w:r>
        <w:t xml:space="preserve"> </w:t>
      </w:r>
      <w:r>
        <w:t xml:space="preserve">surface. To make the cost of abstention concrete, one secondary outcome is</w:t>
      </w:r>
      <w:r>
        <w:t xml:space="preserve"> </w:t>
      </w:r>
      <w:r>
        <w:t xml:space="preserve">declared in advance.</w:t>
      </w:r>
      <w:r>
        <w:t xml:space="preserve"> </w:t>
      </w:r>
      <w:r>
        <w:t xml:space="preserve">At the primary tolerance, the paper counts how many contracts remain</w:t>
      </w:r>
      <w:r>
        <w:t xml:space="preserve"> </w:t>
      </w:r>
      <w:r>
        <w:t xml:space="preserve">available to a surface calibration under the raw-midpoint input set and</w:t>
      </w:r>
      <w:r>
        <w:t xml:space="preserve"> </w:t>
      </w:r>
      <w:r>
        <w:t xml:space="preserve">under the protocol input set, and reports how the fitted surfaces differ.</w:t>
      </w:r>
      <w:r>
        <w:t xml:space="preserve"> </w:t>
      </w:r>
      <w:r>
        <w:t xml:space="preserve">The fit is a quadratic in log-moneyness, per expiry slice, on the CPIV</w:t>
      </w:r>
      <w:r>
        <w:t xml:space="preserve"> </w:t>
      </w:r>
      <w:r>
        <w:t xml:space="preserve">surface. The comparison is descriptive: the paper does not claim that either</w:t>
      </w:r>
      <w:r>
        <w:t xml:space="preserve"> </w:t>
      </w:r>
      <w:r>
        <w:t xml:space="preserve">surface is better specified, better behaved or more profitable. This outcome</w:t>
      </w:r>
      <w:r>
        <w:t xml:space="preserve"> </w:t>
      </w:r>
      <w:r>
        <w:t xml:space="preserve">was adopted before the declaration as the bridge to the journal’s computational</w:t>
      </w:r>
      <w:r>
        <w:t xml:space="preserve"> </w:t>
      </w:r>
      <w:r>
        <w:t xml:space="preserve">focus: the one place where the protocol’s behavior has a consequence for a</w:t>
      </w:r>
      <w:r>
        <w:t xml:space="preserve"> </w:t>
      </w:r>
      <w:r>
        <w:t xml:space="preserve">downstream numerical procedure.</w:t>
      </w:r>
    </w:p>
    <w:bookmarkEnd w:id="32"/>
    <w:bookmarkEnd w:id="33"/>
    <w:bookmarkStart w:id="38" w:name="X220e56dec326a7427bafd8bdeaf8c019c358ac5"/>
    <w:p>
      <w:pPr>
        <w:pStyle w:val="Heading2"/>
      </w:pPr>
      <w:r>
        <w:t xml:space="preserve">4. A synthetic instrument with a known truth</w:t>
      </w:r>
    </w:p>
    <w:bookmarkStart w:id="34" w:name="X91731d8082f2027e8a469c459a5323e3bb0acc8"/>
    <w:p>
      <w:pPr>
        <w:pStyle w:val="Heading3"/>
      </w:pPr>
      <w:r>
        <w:t xml:space="preserve">4.1 What a synthetic market can say that a real one cannot</w:t>
      </w:r>
    </w:p>
    <w:p>
      <w:pPr>
        <w:pStyle w:val="FirstParagraph"/>
      </w:pPr>
      <w:r>
        <w:t xml:space="preserve">The advantage of the synthetic instrument is that the truth is defined</w:t>
      </w:r>
      <w:r>
        <w:t xml:space="preserve"> </w:t>
      </w:r>
      <w:r>
        <w:t xml:space="preserve">before the quote exists, and the paper states what that means and what it</w:t>
      </w:r>
      <w:r>
        <w:t xml:space="preserve"> </w:t>
      </w:r>
      <w:r>
        <w:t xml:space="preserve">does not.</w:t>
      </w:r>
      <w:r>
        <w:t xml:space="preserve"> </w:t>
      </w:r>
      <w:r>
        <w:t xml:space="preserve">The generator draws, for each underlying and each trading day, a set of</w:t>
      </w:r>
      <w:r>
        <w:t xml:space="preserve"> </w:t>
      </w:r>
      <w:r>
        <w:t xml:space="preserve">contracts at declared strikes and maturities. For each contract it computes</w:t>
      </w:r>
      <w:r>
        <w:t xml:space="preserve"> </w:t>
      </w:r>
      <w:r>
        <w:t xml:space="preserve">the</w:t>
      </w:r>
      <w:r>
        <w:t xml:space="preserve"> </w:t>
      </w:r>
      <w:r>
        <w:rPr>
          <w:i/>
          <w:iCs/>
        </w:rPr>
        <w:t xml:space="preserve">unrounded fair value</w:t>
      </w:r>
      <w:r>
        <w:t xml:space="preserve"> </w:t>
      </w:r>
      <w:r>
        <w:t xml:space="preserve">of both legs, inverts those fair values under</w:t>
      </w:r>
      <w:r>
        <w:t xml:space="preserve"> </w:t>
      </w:r>
      <w:r>
        <w:t xml:space="preserve">the same European map the protocol uses, and takes the difference as the</w:t>
      </w:r>
      <w:r>
        <w:t xml:space="preserve"> </w:t>
      </w:r>
      <w:r>
        <w:t xml:space="preserve">true CPIV. Only after the truth has been fixed does it produce the</w:t>
      </w:r>
      <w:r>
        <w:t xml:space="preserve"> </w:t>
      </w:r>
      <w:r>
        <w:t xml:space="preserve">observable quote: the fair value is rounded to a tick, a half-spread is</w:t>
      </w:r>
      <w:r>
        <w:t xml:space="preserve"> </w:t>
      </w:r>
      <w:r>
        <w:t xml:space="preserve">added, the timestamp is jittered, and defects are injected at declared</w:t>
      </w:r>
      <w:r>
        <w:t xml:space="preserve"> </w:t>
      </w:r>
      <w:r>
        <w:t xml:space="preserve">rates.</w:t>
      </w:r>
      <w:r>
        <w:t xml:space="preserve"> </w:t>
      </w:r>
      <w:r>
        <w:t xml:space="preserve">The truth is therefore a property of the model, not of a market: it is the</w:t>
      </w:r>
      <w:r>
        <w:t xml:space="preserve"> </w:t>
      </w:r>
      <w:r>
        <w:t xml:space="preserve">quantity a perfect measurement of this synthetic market would recover. The</w:t>
      </w:r>
      <w:r>
        <w:t xml:space="preserve"> </w:t>
      </w:r>
      <w:r>
        <w:t xml:space="preserve">instrument can report</w:t>
      </w:r>
      <w:r>
        <w:t xml:space="preserve"> </w:t>
      </w:r>
      <w:r>
        <w:rPr>
          <w:i/>
          <w:iCs/>
        </w:rPr>
        <w:t xml:space="preserve">accuracy</w:t>
      </w:r>
      <w:r>
        <w:t xml:space="preserve">, which a real market never can, and it can</w:t>
      </w:r>
      <w:r>
        <w:t xml:space="preserve"> </w:t>
      </w:r>
      <w:r>
        <w:t xml:space="preserve">probe conditions that are hard to find in real data — wide quotes, coarse</w:t>
      </w:r>
      <w:r>
        <w:t xml:space="preserve"> </w:t>
      </w:r>
      <w:r>
        <w:t xml:space="preserve">ticks, short maturities, a timing skew — because those can be dialed in</w:t>
      </w:r>
      <w:r>
        <w:t xml:space="preserve"> </w:t>
      </w:r>
      <w:r>
        <w:t xml:space="preserve">exactly. What it cannot do is support a claim about any real security, index</w:t>
      </w:r>
      <w:r>
        <w:t xml:space="preserve"> </w:t>
      </w:r>
      <w:r>
        <w:t xml:space="preserve">or option (Section 7.2).</w:t>
      </w:r>
    </w:p>
    <w:bookmarkEnd w:id="34"/>
    <w:bookmarkStart w:id="35" w:name="the-generator"/>
    <w:p>
      <w:pPr>
        <w:pStyle w:val="Heading3"/>
      </w:pPr>
      <w:r>
        <w:t xml:space="preserve">4.2 The generator</w:t>
      </w:r>
    </w:p>
    <w:p>
      <w:pPr>
        <w:pStyle w:val="FirstParagraph"/>
      </w:pPr>
      <w:r>
        <w:t xml:space="preserve">The base specification, declared in the addendum, is listed in</w:t>
      </w:r>
      <w:r>
        <w:t xml:space="preserve"> </w:t>
      </w:r>
      <w:r>
        <w:t xml:space="preserve">Supplementary Appendix A. In outline: two underlyings at spot 100 and 250,</w:t>
      </w:r>
      <w:r>
        <w:t xml:space="preserve"> </w:t>
      </w:r>
      <w:r>
        <w:t xml:space="preserve">30 trading days each, maturities of 14, 30 and 60 days, five strikes from</w:t>
      </w:r>
      <w:r>
        <w:t xml:space="preserve"> </w:t>
      </w:r>
      <w:r>
        <w:t xml:space="preserve">90 % to 110 % of spot, a continuously compounded rate of 5 % with no</w:t>
      </w:r>
      <w:r>
        <w:t xml:space="preserve"> </w:t>
      </w:r>
      <w:r>
        <w:t xml:space="preserve">dividend yield, a volatility surface with a term slope and a</w:t>
      </w:r>
      <w:r>
        <w:t xml:space="preserve"> </w:t>
      </w:r>
      <w:r>
        <w:t xml:space="preserve">log-moneyness skew, a tick of 0.01 and a half-spread that widens in the</w:t>
      </w:r>
      <w:r>
        <w:t xml:space="preserve"> </w:t>
      </w:r>
      <w:r>
        <w:t xml:space="preserve">wings, at the short end and on every seventh session, sub-second timestamp</w:t>
      </w:r>
      <w:r>
        <w:t xml:space="preserve"> </w:t>
      </w:r>
      <w:r>
        <w:t xml:space="preserve">jitter, and injected defects at declared rates.</w:t>
      </w:r>
      <w:r>
        <w:t xml:space="preserve"> </w:t>
      </w:r>
      <w:r>
        <w:t xml:space="preserve">This yields 894 attempted pairs in the development draw, of</w:t>
      </w:r>
      <w:r>
        <w:t xml:space="preserve"> </w:t>
      </w:r>
      <w:r>
        <w:t xml:space="preserve">which 868 carried no defect: 11</w:t>
      </w:r>
      <w:r>
        <w:t xml:space="preserve"> </w:t>
      </w:r>
      <w:r>
        <w:t xml:space="preserve">stale quotes, 8 crossed quotes,</w:t>
      </w:r>
      <w:r>
        <w:t xml:space="preserve"> </w:t>
      </w:r>
      <w:r>
        <w:t xml:space="preserve">5 out-of-bounds quotes and</w:t>
      </w:r>
      <w:r>
        <w:t xml:space="preserve"> </w:t>
      </w:r>
      <w:r>
        <w:t xml:space="preserve">2 contract mismatches, one defect per</w:t>
      </w:r>
      <w:r>
        <w:t xml:space="preserve"> </w:t>
      </w:r>
      <w:r>
        <w:t xml:space="preserve">remaining pair. The 6 contracts with a missing</w:t>
      </w:r>
      <w:r>
        <w:t xml:space="preserve"> </w:t>
      </w:r>
      <w:r>
        <w:t xml:space="preserve">leg never become pairs and are not among the 894.</w:t>
      </w:r>
      <w:r>
        <w:t xml:space="preserve"> </w:t>
      </w:r>
      <w:r>
        <w:t xml:space="preserve">The generator is a pure function of its seed and configuration: the same</w:t>
      </w:r>
      <w:r>
        <w:t xml:space="preserve"> </w:t>
      </w:r>
      <w:r>
        <w:t xml:space="preserve">seed reproduces the same quotes, pair identifiers and truth values, which is</w:t>
      </w:r>
      <w:r>
        <w:t xml:space="preserve"> </w:t>
      </w:r>
      <w:r>
        <w:t xml:space="preserve">what makes the replication design of Section 5.3 possible at all.</w:t>
      </w:r>
    </w:p>
    <w:bookmarkEnd w:id="35"/>
    <w:bookmarkStart w:id="36" w:name="the-truth"/>
    <w:p>
      <w:pPr>
        <w:pStyle w:val="Heading3"/>
      </w:pPr>
      <w:r>
        <w:t xml:space="preserve">4.3 The truth</w:t>
      </w:r>
    </w:p>
    <w:p>
      <w:pPr>
        <w:pStyle w:val="FirstParagraph"/>
      </w:pPr>
      <w:r>
        <w:t xml:space="preserve">The true CPIV is negative for a structural reason: the American put is worth</w:t>
      </w:r>
      <w:r>
        <w:t xml:space="preserve"> </w:t>
      </w:r>
      <w:r>
        <w:t xml:space="preserve">more than its European value, so the implied volatility recovered from it is</w:t>
      </w:r>
      <w:r>
        <w:t xml:space="preserve"> </w:t>
      </w:r>
      <w:r>
        <w:rPr>
          <w:i/>
          <w:iCs/>
        </w:rPr>
        <w:t xml:space="preserve">higher</w:t>
      </w:r>
      <w:r>
        <w:t xml:space="preserve"> </w:t>
      </w:r>
      <w:r>
        <w:t xml:space="preserve">than that recovered from the call, and the difference is negative.</w:t>
      </w:r>
      <w:r>
        <w:t xml:space="preserve"> </w:t>
      </w:r>
      <w:r>
        <w:t xml:space="preserve">In the development draw the true spread ranges from -19.331 to</w:t>
      </w:r>
      <w:r>
        <w:t xml:space="preserve"> </w:t>
      </w:r>
      <w:r>
        <w:t xml:space="preserve">-0.021 percentage points with a median of -0.248, and it is</w:t>
      </w:r>
      <w:r>
        <w:t xml:space="preserve"> </w:t>
      </w:r>
      <w:r>
        <w:t xml:space="preserve">defined for all 894 attempted pairs.</w:t>
      </w:r>
      <w:r>
        <w:t xml:space="preserve"> </w:t>
      </w:r>
      <w:r>
        <w:t xml:space="preserve">The magnitude matters. A true spread of a few tenths of a percentage point,</w:t>
      </w:r>
      <w:r>
        <w:t xml:space="preserve"> </w:t>
      </w:r>
      <w:r>
        <w:t xml:space="preserve">against a quote-induced uncertainty of the same order, is the regime in</w:t>
      </w:r>
      <w:r>
        <w:t xml:space="preserve"> </w:t>
      </w:r>
      <w:r>
        <w:t xml:space="preserve">which the measurement problem is genuinely hard: signal and noise are the</w:t>
      </w:r>
      <w:r>
        <w:t xml:space="preserve"> </w:t>
      </w:r>
      <w:r>
        <w:t xml:space="preserve">same size. It is also the regime in which a protocol that reports a number</w:t>
      </w:r>
      <w:r>
        <w:t xml:space="preserve"> </w:t>
      </w:r>
      <w:r>
        <w:t xml:space="preserve">without saying whether the number is determined is most likely to mislead.</w:t>
      </w:r>
    </w:p>
    <w:bookmarkEnd w:id="36"/>
    <w:bookmarkStart w:id="37" w:name="what-the-instrument-is-not"/>
    <w:p>
      <w:pPr>
        <w:pStyle w:val="Heading3"/>
      </w:pPr>
      <w:r>
        <w:t xml:space="preserve">4.4 What the instrument is not</w:t>
      </w:r>
    </w:p>
    <w:p>
      <w:pPr>
        <w:pStyle w:val="FirstParagraph"/>
      </w:pPr>
      <w:r>
        <w:t xml:space="preserve">The synthetic instrument is a</w:t>
      </w:r>
      <w:r>
        <w:t xml:space="preserve"> </w:t>
      </w:r>
      <w:r>
        <w:rPr>
          <w:i/>
          <w:iCs/>
        </w:rPr>
        <w:t xml:space="preserve">model artifact</w:t>
      </w:r>
      <w:r>
        <w:t xml:space="preserve">, and three things follow.</w:t>
      </w:r>
      <w:r>
        <w:t xml:space="preserve"> </w:t>
      </w:r>
      <w:r>
        <w:t xml:space="preserve">It does not license an external-validity claim. A protocol that behaves well</w:t>
      </w:r>
      <w:r>
        <w:t xml:space="preserve"> </w:t>
      </w:r>
      <w:r>
        <w:t xml:space="preserve">on this instrument may behave differently on a real market, for the reasons</w:t>
      </w:r>
      <w:r>
        <w:t xml:space="preserve"> </w:t>
      </w:r>
      <w:r>
        <w:t xml:space="preserve">in Section 2.6: coverage is determined by the microstructure of the market</w:t>
      </w:r>
      <w:r>
        <w:t xml:space="preserve"> </w:t>
      </w:r>
      <w:r>
        <w:t xml:space="preserve">it meets, and the instrument’s microstructure is one this study chose.</w:t>
      </w:r>
      <w:r>
        <w:t xml:space="preserve"> </w:t>
      </w:r>
      <w:r>
        <w:t xml:space="preserve">It does not license a market claim of any kind; Section 7.2 lists the</w:t>
      </w:r>
      <w:r>
        <w:t xml:space="preserve"> </w:t>
      </w:r>
      <w:r>
        <w:t xml:space="preserve">excluded claims.</w:t>
      </w:r>
      <w:r>
        <w:t xml:space="preserve"> </w:t>
      </w:r>
      <w:r>
        <w:t xml:space="preserve">It does not license a claim about the optimal tolerance: the specification</w:t>
      </w:r>
      <w:r>
        <w:t xml:space="preserve"> </w:t>
      </w:r>
      <w:r>
        <w:t xml:space="preserve">sweep varies the tolerance on a synthetic market, which says nothing about</w:t>
      </w:r>
      <w:r>
        <w:t xml:space="preserve"> </w:t>
      </w:r>
      <w:r>
        <w:t xml:space="preserve">which tolerance an analyst should use on a real one.</w:t>
      </w:r>
    </w:p>
    <w:bookmarkEnd w:id="37"/>
    <w:bookmarkEnd w:id="38"/>
    <w:bookmarkStart w:id="44" w:name="design-and-declared-protocol"/>
    <w:p>
      <w:pPr>
        <w:pStyle w:val="Heading2"/>
      </w:pPr>
      <w:r>
        <w:t xml:space="preserve">5. Design and declared protocol</w:t>
      </w:r>
    </w:p>
    <w:bookmarkStart w:id="39" w:name="the-status-of-the-declared-protocol"/>
    <w:p>
      <w:pPr>
        <w:pStyle w:val="Heading3"/>
      </w:pPr>
      <w:r>
        <w:t xml:space="preserve">5.1 The status of the declared protocol</w:t>
      </w:r>
    </w:p>
    <w:p>
      <w:pPr>
        <w:pStyle w:val="FirstParagraph"/>
      </w:pPr>
      <w:r>
        <w:t xml:space="preserve">No market-data pre-registration is part of this paper: its universe, sampling rule and tick convention depend on a vendor schema the study lacks. Without market data the paper can freeze the protocol and the instrument, which a separate addendum does: the generator specification, the</w:t>
      </w:r>
      <w:r>
        <w:t xml:space="preserve"> </w:t>
      </w:r>
      <w:r>
        <w:t xml:space="preserve">protocol settings, the seed list, the specification grid, the nulls, the</w:t>
      </w:r>
      <w:r>
        <w:t xml:space="preserve"> </w:t>
      </w:r>
      <w:r>
        <w:t xml:space="preserve">number of trials and the decision rules.</w:t>
      </w:r>
      <w:r>
        <w:t xml:space="preserve"> </w:t>
      </w:r>
      <w:r>
        <w:t xml:space="preserve">The addendum and the sweep manifest are both dated 22 October 2026. The repository cannot confirm that order: the first commit on this paper’s branch that records the addendum is dated 30 October UTC, and an earlier commit dated 25 October UTC adds the same file on another branch. Both git records postdate the manifest. The protocol is therefore</w:t>
      </w:r>
      <w:r>
        <w:t xml:space="preserve"> </w:t>
      </w:r>
      <w:r>
        <w:rPr>
          <w:i/>
          <w:iCs/>
        </w:rPr>
        <w:t xml:space="preserve">declared</w:t>
      </w:r>
      <w:r>
        <w:t xml:space="preserve"> </w:t>
      </w:r>
      <w:r>
        <w:t xml:space="preserve">in a dated addendum, not verified as pre-registered. The base-market study already run is the declared</w:t>
      </w:r>
      <w:r>
        <w:t xml:space="preserve"> </w:t>
      </w:r>
      <w:r>
        <w:rPr>
          <w:i/>
          <w:iCs/>
        </w:rPr>
        <w:t xml:space="preserve">development draw</w:t>
      </w:r>
      <w:r>
        <w:t xml:space="preserve">, reported in full and excluded from the tally in Section 6.6 except for R3 and R6, which are computed on its seed. A later edit, dated 24 October, corrected a specification count (18 to 17) and changed no rule, seed or threshold.</w:t>
      </w:r>
      <w:r>
        <w:t xml:space="preserve"> </w:t>
      </w:r>
      <w:r>
        <w:rPr>
          <w:rStyle w:val="VerbatimChar"/>
        </w:rPr>
        <w:t xml:space="preserve">verdict.py</w:t>
      </w:r>
      <w:r>
        <w:t xml:space="preserve"> </w:t>
      </w:r>
      <w:r>
        <w:t xml:space="preserve">encodes the six</w:t>
      </w:r>
      <w:r>
        <w:t xml:space="preserve"> </w:t>
      </w:r>
      <w:r>
        <w:t xml:space="preserve">rules and reads only the sweep outputs; the tally in Section 6.6 is its</w:t>
      </w:r>
      <w:r>
        <w:t xml:space="preserve"> </w:t>
      </w:r>
      <w:r>
        <w:t xml:space="preserve">output. A code defect may be fixed after the declaration; a change to a rule, a</w:t>
      </w:r>
      <w:r>
        <w:t xml:space="preserve"> </w:t>
      </w:r>
      <w:r>
        <w:t xml:space="preserve">seed, a specification or a threshold may not, since that would require a new</w:t>
      </w:r>
      <w:r>
        <w:t xml:space="preserve"> </w:t>
      </w:r>
      <w:r>
        <w:t xml:space="preserve">addendum version, a fresh sweep and a new tally. This is the discipline the</w:t>
      </w:r>
      <w:r>
        <w:t xml:space="preserve"> </w:t>
      </w:r>
      <w:r>
        <w:t xml:space="preserve">pre-registration literature argues for in its general form (White, 2000;</w:t>
      </w:r>
      <w:r>
        <w:t xml:space="preserve"> </w:t>
      </w:r>
      <w:r>
        <w:t xml:space="preserve">Harvey et al., 2016; Nosek et al., 2018), applied to one study.</w:t>
      </w:r>
    </w:p>
    <w:bookmarkEnd w:id="39"/>
    <w:bookmarkStart w:id="40" w:name="the-declared-settings"/>
    <w:p>
      <w:pPr>
        <w:pStyle w:val="Heading3"/>
      </w:pPr>
      <w:r>
        <w:t xml:space="preserve">5.2 The declared settings</w:t>
      </w:r>
    </w:p>
    <w:p>
      <w:pPr>
        <w:pStyle w:val="FirstParagraph"/>
      </w:pPr>
      <w:r>
        <w:t xml:space="preserve">Every setting the protocol uses is a declared quantity, set out in the</w:t>
      </w:r>
      <w:r>
        <w:t xml:space="preserve"> </w:t>
      </w:r>
      <w:r>
        <w:t xml:space="preserve">addendum and listed in Supplementary Table S2, (the finite-shock size and the displacement definition are not in the addendum): the inversion map, the root</w:t>
      </w:r>
      <w:r>
        <w:t xml:space="preserve"> </w:t>
      </w:r>
      <w:r>
        <w:t xml:space="preserve">bracket, the near-bound guard, the resolution scale, the synchronization</w:t>
      </w:r>
      <w:r>
        <w:t xml:space="preserve"> </w:t>
      </w:r>
      <w:r>
        <w:t xml:space="preserve">tolerance, the tolerance grid and primary tolerance, the sign band (0.05 percentage points, below which a sign disagreement is not counted), the</w:t>
      </w:r>
      <w:r>
        <w:t xml:space="preserve"> </w:t>
      </w:r>
      <w:r>
        <w:t xml:space="preserve">perturbation set, the period split and the inference unit. No setting is a</w:t>
      </w:r>
      <w:r>
        <w:t xml:space="preserve"> </w:t>
      </w:r>
      <w:r>
        <w:t xml:space="preserve">free parameter of the analysis.</w:t>
      </w:r>
    </w:p>
    <w:p>
      <w:pPr>
        <w:pStyle w:val="BodyText"/>
      </w:pPr>
      <w:r>
        <w:t xml:space="preserve">The inference unit deserves a note. Options on the same underlying and day</w:t>
      </w:r>
      <w:r>
        <w:t xml:space="preserve"> </w:t>
      </w:r>
      <w:r>
        <w:t xml:space="preserve">share a spot, a session volatility and a set of market-maker quotes, so</w:t>
      </w:r>
      <w:r>
        <w:t xml:space="preserve"> </w:t>
      </w:r>
      <w:r>
        <w:t xml:space="preserve">treating pairs as independent would understate the uncertainty and would</w:t>
      </w:r>
      <w:r>
        <w:t xml:space="preserve"> </w:t>
      </w:r>
      <w:r>
        <w:t xml:space="preserve">make the nulls of Section 2.5 too easy to beat. All intervals are therefore</w:t>
      </w:r>
      <w:r>
        <w:t xml:space="preserve"> </w:t>
      </w:r>
      <w:r>
        <w:t xml:space="preserve">computed by resampling whole underlying-days, and the day-block null is the</w:t>
      </w:r>
      <w:r>
        <w:t xml:space="preserve"> </w:t>
      </w:r>
      <w:r>
        <w:t xml:space="preserve">primary test.</w:t>
      </w:r>
    </w:p>
    <w:bookmarkEnd w:id="40"/>
    <w:bookmarkStart w:id="41" w:name="the-replication-design"/>
    <w:p>
      <w:pPr>
        <w:pStyle w:val="Heading3"/>
      </w:pPr>
      <w:r>
        <w:t xml:space="preserve">5.3 The replication design</w:t>
      </w:r>
    </w:p>
    <w:p>
      <w:pPr>
        <w:pStyle w:val="FirstParagraph"/>
      </w:pPr>
      <w:r>
        <w:t xml:space="preserve">A single draw is one number, and one number cannot support a claim about a</w:t>
      </w:r>
      <w:r>
        <w:t xml:space="preserve"> </w:t>
      </w:r>
      <w:r>
        <w:t xml:space="preserve">protocol. The design has two arms.</w:t>
      </w:r>
      <w:r>
        <w:t xml:space="preserve"> </w:t>
      </w:r>
      <w:r>
        <w:t xml:space="preserve">The</w:t>
      </w:r>
      <w:r>
        <w:t xml:space="preserve"> </w:t>
      </w:r>
      <w:r>
        <w:rPr>
          <w:b/>
          <w:bCs/>
        </w:rPr>
        <w:t xml:space="preserve">seed sweep</w:t>
      </w:r>
      <w:r>
        <w:t xml:space="preserve"> </w:t>
      </w:r>
      <w:r>
        <w:t xml:space="preserve">repeats the entire study — a fresh market, a fresh</w:t>
      </w:r>
      <w:r>
        <w:t xml:space="preserve"> </w:t>
      </w:r>
      <w:r>
        <w:t xml:space="preserve">protocol run, a fresh frontier — on 23 declared replication seeds, each a</w:t>
      </w:r>
      <w:r>
        <w:t xml:space="preserve"> </w:t>
      </w:r>
      <w:r>
        <w:t xml:space="preserve">complete re-draw of the instrument. The seeds are a base seed plus a fixed</w:t>
      </w:r>
      <w:r>
        <w:t xml:space="preserve"> </w:t>
      </w:r>
      <w:r>
        <w:t xml:space="preserve">stride, so the set is reproducible and cannot be adjusted after the fact.</w:t>
      </w:r>
      <w:r>
        <w:t xml:space="preserve"> </w:t>
      </w:r>
      <w:r>
        <w:t xml:space="preserve">Each draw reports the same quantities, so the results are read as</w:t>
      </w:r>
      <w:r>
        <w:t xml:space="preserve"> </w:t>
      </w:r>
      <w:r>
        <w:t xml:space="preserve">distributions rather than point estimates.</w:t>
      </w:r>
      <w:r>
        <w:t xml:space="preserve"> </w:t>
      </w:r>
      <w:r>
        <w:t xml:space="preserve">The</w:t>
      </w:r>
      <w:r>
        <w:t xml:space="preserve"> </w:t>
      </w:r>
      <w:r>
        <w:rPr>
          <w:b/>
          <w:bCs/>
        </w:rPr>
        <w:t xml:space="preserve">specification sweep</w:t>
      </w:r>
      <w:r>
        <w:t xml:space="preserve"> </w:t>
      </w:r>
      <w:r>
        <w:t xml:space="preserve">varies the instrument and the protocol one</w:t>
      </w:r>
      <w:r>
        <w:t xml:space="preserve"> </w:t>
      </w:r>
      <w:r>
        <w:t xml:space="preserve">factor at a time away from the base market. The market group varies</w:t>
      </w:r>
      <w:r>
        <w:t xml:space="preserve"> </w:t>
      </w:r>
      <w:r>
        <w:t xml:space="preserve">volatility (low 15 %, high 35 %), quote width (two and three ticks), tick</w:t>
      </w:r>
      <w:r>
        <w:t xml:space="preserve"> </w:t>
      </w:r>
      <w:r>
        <w:t xml:space="preserve">size (0.05), the wide-session period (removed), the strike grid (85 % to 115</w:t>
      </w:r>
      <w:r>
        <w:t xml:space="preserve"> </w:t>
      </w:r>
      <w:r>
        <w:t xml:space="preserve">%) and the maturities (7/14/30 days and 30/60/90 days). The protocol group</w:t>
      </w:r>
      <w:r>
        <w:t xml:space="preserve"> </w:t>
      </w:r>
      <w:r>
        <w:t xml:space="preserve">varies the analyst’s own knobs — the tolerance at 0.05, 0.10, 0.25 and 0.50</w:t>
      </w:r>
      <w:r>
        <w:t xml:space="preserve"> </w:t>
      </w:r>
      <w:r>
        <w:t xml:space="preserve">percentage points (sweep specifications, not the grid), and the resolution</w:t>
      </w:r>
      <w:r>
        <w:t xml:space="preserve"> </w:t>
      </w:r>
      <w:r>
        <w:t xml:space="preserve">scale at 0.5, 1 and 2 ticks — which maps the coverage–error frontier an</w:t>
      </w:r>
      <w:r>
        <w:t xml:space="preserve"> </w:t>
      </w:r>
      <w:r>
        <w:t xml:space="preserve">analyst actually faces. The seed sweep asks whether the quantities are a property of the protocol or</w:t>
      </w:r>
      <w:r>
        <w:t xml:space="preserve"> </w:t>
      </w:r>
      <w:r>
        <w:t xml:space="preserve">of one lucky draw; the market group, whether they are a property of the</w:t>
      </w:r>
      <w:r>
        <w:t xml:space="preserve"> </w:t>
      </w:r>
      <w:r>
        <w:t xml:space="preserve">protocol or of one synthetic market.</w:t>
      </w:r>
    </w:p>
    <w:bookmarkEnd w:id="41"/>
    <w:bookmarkStart w:id="42" w:name="the-perturbation-set"/>
    <w:p>
      <w:pPr>
        <w:pStyle w:val="Heading3"/>
      </w:pPr>
      <w:r>
        <w:t xml:space="preserve">5.4 The perturbation set</w:t>
      </w:r>
    </w:p>
    <w:p>
      <w:pPr>
        <w:pStyle w:val="FirstParagraph"/>
      </w:pPr>
      <w:r>
        <w:t xml:space="preserve">Six perturbations are declared, each a plausible accident of a real feed</w:t>
      </w:r>
      <w:r>
        <w:t xml:space="preserve"> </w:t>
      </w:r>
      <w:r>
        <w:t xml:space="preserve">rather than an arbitrary stress: every quote widened by half a tick; the</w:t>
      </w:r>
      <w:r>
        <w:t xml:space="preserve"> </w:t>
      </w:r>
      <w:r>
        <w:t xml:space="preserve">spot used for inversion shifted up by one basis point; the continuously</w:t>
      </w:r>
      <w:r>
        <w:t xml:space="preserve"> </w:t>
      </w:r>
      <w:r>
        <w:t xml:space="preserve">compounded rate shifted up by five basis points; the underlying’s timestamp</w:t>
      </w:r>
      <w:r>
        <w:t xml:space="preserve"> </w:t>
      </w:r>
      <w:r>
        <w:t xml:space="preserve">moved three seconds behind the quotes; the resolution scale halved; and the</w:t>
      </w:r>
      <w:r>
        <w:t xml:space="preserve"> </w:t>
      </w:r>
      <w:r>
        <w:t xml:space="preserve">synchronization tolerance relaxed to five seconds. Table 7 reports the</w:t>
      </w:r>
      <w:r>
        <w:t xml:space="preserve"> </w:t>
      </w:r>
      <w:r>
        <w:t xml:space="preserve">response of each, and Section 6.7 says what it means.</w:t>
      </w:r>
      <w:r>
        <w:t xml:space="preserve"> </w:t>
      </w:r>
      <w:r>
        <w:t xml:space="preserve">The perturbations are diagnostics rather than confidence bounds. They answer</w:t>
      </w:r>
      <w:r>
        <w:t xml:space="preserve"> </w:t>
      </w:r>
      <w:r>
        <w:t xml:space="preserve">“which parts of the result are load-bearing?”</w:t>
      </w:r>
      <w:r>
        <w:t xml:space="preserve">, and the answer determines</w:t>
      </w:r>
      <w:r>
        <w:t xml:space="preserve"> </w:t>
      </w:r>
      <w:r>
        <w:t xml:space="preserve">which components a reader should trust.</w:t>
      </w:r>
    </w:p>
    <w:bookmarkEnd w:id="42"/>
    <w:bookmarkStart w:id="43" w:name="the-decision-rules"/>
    <w:p>
      <w:pPr>
        <w:pStyle w:val="Heading3"/>
      </w:pPr>
      <w:r>
        <w:t xml:space="preserve">5.5 The decision rules</w:t>
      </w:r>
    </w:p>
    <w:p>
      <w:pPr>
        <w:pStyle w:val="FirstParagraph"/>
      </w:pPr>
      <w:r>
        <w:t xml:space="preserve">Six rules were declared, each a statement the benchmark can falsify.</w:t>
      </w:r>
    </w:p>
    <w:p>
      <w:pPr>
        <w:pStyle w:val="Compact"/>
        <w:numPr>
          <w:ilvl w:val="0"/>
          <w:numId w:val="1004"/>
        </w:numPr>
      </w:pPr>
      <w:r>
        <w:rPr>
          <w:b/>
          <w:bCs/>
        </w:rPr>
        <w:t xml:space="preserve">R1 — selection.</w:t>
      </w:r>
      <w:r>
        <w:t xml:space="preserve"> </w:t>
      </w:r>
      <w:r>
        <w:t xml:space="preserve">The abstention rule selects a set that is genuinely easier to measure, not merely smaller. Pass: certified error below the day-block null mean in ≥ 16 of 23 draws, and day-block p &lt; 0.05 in ≥ 16 of 23.</w:t>
      </w:r>
    </w:p>
    <w:p>
      <w:pPr>
        <w:pStyle w:val="Compact"/>
        <w:numPr>
          <w:ilvl w:val="0"/>
          <w:numId w:val="1004"/>
        </w:numPr>
      </w:pPr>
      <w:r>
        <w:rPr>
          <w:b/>
          <w:bCs/>
        </w:rPr>
        <w:t xml:space="preserve">R2 — own-set accuracy.</w:t>
      </w:r>
      <w:r>
        <w:t xml:space="preserve"> </w:t>
      </w:r>
      <w:r>
        <w:t xml:space="preserve">The protocol’s own-set error is lower than the raw midpoint’s own-set error. Pass: own-set MAE(certified) &lt; own-set MAE(raw) in ≥ 16 of 23 draws.</w:t>
      </w:r>
    </w:p>
    <w:p>
      <w:pPr>
        <w:pStyle w:val="Compact"/>
        <w:numPr>
          <w:ilvl w:val="0"/>
          <w:numId w:val="1004"/>
        </w:numPr>
      </w:pPr>
      <w:r>
        <w:rPr>
          <w:b/>
          <w:bCs/>
        </w:rPr>
        <w:t xml:space="preserve">R3 — coverage stability.</w:t>
      </w:r>
      <w:r>
        <w:t xml:space="preserve"> </w:t>
      </w:r>
      <w:r>
        <w:t xml:space="preserve">The certification coverage does not depend on one particular synthetic market. Pass: across the 10 market specifications, the minimum certified coverage at the primary tolerance is ≥ 50 % of the median coverage.</w:t>
      </w:r>
    </w:p>
    <w:p>
      <w:pPr>
        <w:pStyle w:val="Compact"/>
        <w:numPr>
          <w:ilvl w:val="0"/>
          <w:numId w:val="1004"/>
        </w:numPr>
      </w:pPr>
      <w:r>
        <w:rPr>
          <w:b/>
          <w:bCs/>
        </w:rPr>
        <w:t xml:space="preserve">R4 — tolerance monotonicity.</w:t>
      </w:r>
      <w:r>
        <w:t xml:space="preserve"> </w:t>
      </w:r>
      <w:r>
        <w:t xml:space="preserve">Coverage is non-decreasing in the certification tolerance. Pass: holds in ≥ 22 of 23 draws.</w:t>
      </w:r>
    </w:p>
    <w:p>
      <w:pPr>
        <w:pStyle w:val="Compact"/>
        <w:numPr>
          <w:ilvl w:val="0"/>
          <w:numId w:val="1004"/>
        </w:numPr>
      </w:pPr>
      <w:r>
        <w:rPr>
          <w:b/>
          <w:bCs/>
        </w:rPr>
        <w:t xml:space="preserve">R5 — period agreement.</w:t>
      </w:r>
      <w:r>
        <w:t xml:space="preserve"> </w:t>
      </w:r>
      <w:r>
        <w:t xml:space="preserve">The primary and holdout periods agree. Pass: sign of the error reduction agrees in ≥ 16 of 23 draws, and holdout coverage is within 10 percentage points of primary coverage in ≥ 16 of 23.</w:t>
      </w:r>
    </w:p>
    <w:p>
      <w:pPr>
        <w:pStyle w:val="Compact"/>
        <w:numPr>
          <w:ilvl w:val="0"/>
          <w:numId w:val="1004"/>
        </w:numPr>
      </w:pPr>
      <w:r>
        <w:rPr>
          <w:b/>
          <w:bCs/>
        </w:rPr>
        <w:t xml:space="preserve">R6 — perturbation sanity.</w:t>
      </w:r>
      <w:r>
        <w:t xml:space="preserve"> </w:t>
      </w:r>
      <w:r>
        <w:t xml:space="preserve">The perturbation set does not dominate the result. Pass: no single perturbation changes certified coverage by more than 15 percentage points in absolute value.</w:t>
      </w:r>
    </w:p>
    <w:p>
      <w:pPr>
        <w:pStyle w:val="FirstParagraph"/>
      </w:pPr>
      <w:r>
        <w:t xml:space="preserve">The thresholds count draws rather than measure effect sizes, so the rules test</w:t>
      </w:r>
      <w:r>
        <w:t xml:space="preserve"> </w:t>
      </w:r>
      <w:r>
        <w:rPr>
          <w:i/>
          <w:iCs/>
        </w:rPr>
        <w:t xml:space="preserve">consistency</w:t>
      </w:r>
      <w:r>
        <w:t xml:space="preserve">: a rule passes when the phenomenon recurs in most independent</w:t>
      </w:r>
      <w:r>
        <w:t xml:space="preserve"> </w:t>
      </w:r>
      <w:r>
        <w:t xml:space="preserve">re-draws. R1 and R2 carry a declared consequence. If either fails, the</w:t>
      </w:r>
      <w:r>
        <w:t xml:space="preserve"> </w:t>
      </w:r>
      <w:r>
        <w:t xml:space="preserve">benchmark shows that abstaining on hard pairs does not buy accuracy, and the</w:t>
      </w:r>
      <w:r>
        <w:t xml:space="preserve"> </w:t>
      </w:r>
      <w:r>
        <w:t xml:space="preserve">mechanism claim must be reduced to coverage and stability. That reduction</w:t>
      </w:r>
      <w:r>
        <w:t xml:space="preserve"> </w:t>
      </w:r>
      <w:r>
        <w:t xml:space="preserve">binds the abstract, the key messages and the conclusion, and could not be</w:t>
      </w:r>
      <w:r>
        <w:t xml:space="preserve"> </w:t>
      </w:r>
      <w:r>
        <w:t xml:space="preserve">renegotiated afterwards.</w:t>
      </w:r>
    </w:p>
    <w:p>
      <w:r>
        <w:pict>
          <v:rect style="width:0;height:1.5pt" o:hralign="center" o:hrstd="t" o:hr="t"/>
        </w:pict>
      </w:r>
    </w:p>
    <w:bookmarkEnd w:id="43"/>
    <w:bookmarkEnd w:id="44"/>
    <w:bookmarkStart w:id="58" w:name="results"/>
    <w:p>
      <w:pPr>
        <w:pStyle w:val="Heading2"/>
      </w:pPr>
      <w:r>
        <w:t xml:space="preserve">6. Results</w:t>
      </w:r>
    </w:p>
    <w:bookmarkStart w:id="45" w:name="the-funnel"/>
    <w:p>
      <w:pPr>
        <w:pStyle w:val="Heading3"/>
      </w:pPr>
      <w:r>
        <w:t xml:space="preserve">6.1 The funnel</w:t>
      </w:r>
    </w:p>
    <w:p>
      <w:pPr>
        <w:pStyle w:val="FirstParagraph"/>
      </w:pPr>
      <w:r>
        <w:t xml:space="preserve">The funnel of the development draw (Table 1) shows what the protocol rejects.</w:t>
      </w:r>
    </w:p>
    <w:p>
      <w:pPr>
        <w:pStyle w:val="BodyText"/>
      </w:pPr>
      <w:r>
        <w:rPr>
          <w:b/>
          <w:bCs/>
        </w:rPr>
        <w:t xml:space="preserve">Table 1. Attrition funnel, development draw (seed 20261022)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right"/>
            </w:pPr>
            <w:r>
              <w:t xml:space="preserve">Count</w:t>
            </w:r>
          </w:p>
        </w:tc>
        <w:tc>
          <w:tcPr/>
          <w:p>
            <w:pPr>
              <w:pStyle w:val="Compact"/>
              <w:jc w:val="right"/>
            </w:pPr>
            <w:r>
              <w:t xml:space="preserve">Share of attempted</w:t>
            </w:r>
          </w:p>
        </w:tc>
        <w:tc>
          <w:tcPr/>
          <w:p>
            <w:pPr>
              <w:pStyle w:val="Compact"/>
              <w:jc w:val="right"/>
            </w:pPr>
            <w:r>
              <w:t xml:space="preserve">Share of prior stage</w:t>
            </w:r>
          </w:p>
        </w:tc>
        <w:tc>
          <w:tcPr/>
          <w:p>
            <w:pPr>
              <w:pStyle w:val="Compact"/>
              <w:jc w:val="left"/>
            </w:pPr>
            <w:r>
              <w:t xml:space="preserve">Dominant rejection reason</w:t>
            </w:r>
          </w:p>
        </w:tc>
      </w:tr>
      <w:tr>
        <w:tc>
          <w:tcPr/>
          <w:p>
            <w:pPr>
              <w:pStyle w:val="Compact"/>
              <w:jc w:val="left"/>
            </w:pPr>
            <w:r>
              <w:t xml:space="preserve">Contract</w:t>
            </w:r>
          </w:p>
        </w:tc>
        <w:tc>
          <w:tcPr/>
          <w:p>
            <w:pPr>
              <w:pStyle w:val="Compact"/>
              <w:jc w:val="right"/>
            </w:pPr>
            <w:r>
              <w:t xml:space="preserve">892</w:t>
            </w:r>
          </w:p>
        </w:tc>
        <w:tc>
          <w:tcPr/>
          <w:p>
            <w:pPr>
              <w:pStyle w:val="Compact"/>
              <w:jc w:val="right"/>
            </w:pPr>
            <w:r>
              <w:t xml:space="preserve">99.8 %</w:t>
            </w:r>
          </w:p>
        </w:tc>
        <w:tc>
          <w:tcPr/>
          <w:p>
            <w:pPr>
              <w:pStyle w:val="Compact"/>
              <w:jc w:val="right"/>
            </w:pPr>
            <w:r>
              <w:t xml:space="preserve">99.8 %</w:t>
            </w:r>
          </w:p>
        </w:tc>
        <w:tc>
          <w:tcPr/>
          <w:p>
            <w:pPr>
              <w:pStyle w:val="Compact"/>
              <w:jc w:val="left"/>
            </w:pPr>
            <w:r>
              <w:t xml:space="preserve">—</w:t>
            </w:r>
          </w:p>
        </w:tc>
      </w:tr>
      <w:tr>
        <w:tc>
          <w:tcPr/>
          <w:p>
            <w:pPr>
              <w:pStyle w:val="Compact"/>
              <w:jc w:val="left"/>
            </w:pPr>
            <w:r>
              <w:t xml:space="preserve">Timing</w:t>
            </w:r>
          </w:p>
        </w:tc>
        <w:tc>
          <w:tcPr/>
          <w:p>
            <w:pPr>
              <w:pStyle w:val="Compact"/>
              <w:jc w:val="right"/>
            </w:pPr>
            <w:r>
              <w:t xml:space="preserve">881</w:t>
            </w:r>
          </w:p>
        </w:tc>
        <w:tc>
          <w:tcPr/>
          <w:p>
            <w:pPr>
              <w:pStyle w:val="Compact"/>
              <w:jc w:val="right"/>
            </w:pPr>
            <w:r>
              <w:t xml:space="preserve">98.5 %</w:t>
            </w:r>
          </w:p>
        </w:tc>
        <w:tc>
          <w:tcPr/>
          <w:p>
            <w:pPr>
              <w:pStyle w:val="Compact"/>
              <w:jc w:val="right"/>
            </w:pPr>
            <w:r>
              <w:t xml:space="preserve">98.8 %</w:t>
            </w:r>
          </w:p>
        </w:tc>
        <w:tc>
          <w:tcPr/>
          <w:p>
            <w:pPr>
              <w:pStyle w:val="Compact"/>
              <w:jc w:val="left"/>
            </w:pPr>
            <w:r>
              <w:t xml:space="preserve">—</w:t>
            </w:r>
          </w:p>
        </w:tc>
      </w:tr>
      <w:tr>
        <w:tc>
          <w:tcPr/>
          <w:p>
            <w:pPr>
              <w:pStyle w:val="Compact"/>
              <w:jc w:val="left"/>
            </w:pPr>
            <w:r>
              <w:t xml:space="preserve">Quote</w:t>
            </w:r>
          </w:p>
        </w:tc>
        <w:tc>
          <w:tcPr/>
          <w:p>
            <w:pPr>
              <w:pStyle w:val="Compact"/>
              <w:jc w:val="right"/>
            </w:pPr>
            <w:r>
              <w:t xml:space="preserve">873</w:t>
            </w:r>
          </w:p>
        </w:tc>
        <w:tc>
          <w:tcPr/>
          <w:p>
            <w:pPr>
              <w:pStyle w:val="Compact"/>
              <w:jc w:val="right"/>
            </w:pPr>
            <w:r>
              <w:t xml:space="preserve">97.7 %</w:t>
            </w:r>
          </w:p>
        </w:tc>
        <w:tc>
          <w:tcPr/>
          <w:p>
            <w:pPr>
              <w:pStyle w:val="Compact"/>
              <w:jc w:val="right"/>
            </w:pPr>
            <w:r>
              <w:t xml:space="preserve">99.1 %</w:t>
            </w:r>
          </w:p>
        </w:tc>
        <w:tc>
          <w:tcPr/>
          <w:p>
            <w:pPr>
              <w:pStyle w:val="Compact"/>
              <w:jc w:val="left"/>
            </w:pPr>
            <w:r>
              <w:t xml:space="preserve">quote invalid</w:t>
            </w:r>
          </w:p>
        </w:tc>
      </w:tr>
      <w:tr>
        <w:tc>
          <w:tcPr/>
          <w:p>
            <w:pPr>
              <w:pStyle w:val="Compact"/>
              <w:jc w:val="left"/>
            </w:pPr>
            <w:r>
              <w:t xml:space="preserve">Input</w:t>
            </w:r>
          </w:p>
        </w:tc>
        <w:tc>
          <w:tcPr/>
          <w:p>
            <w:pPr>
              <w:pStyle w:val="Compact"/>
              <w:jc w:val="right"/>
            </w:pPr>
            <w:r>
              <w:t xml:space="preserve">873</w:t>
            </w:r>
          </w:p>
        </w:tc>
        <w:tc>
          <w:tcPr/>
          <w:p>
            <w:pPr>
              <w:pStyle w:val="Compact"/>
              <w:jc w:val="right"/>
            </w:pPr>
            <w:r>
              <w:t xml:space="preserve">97.7 %</w:t>
            </w:r>
          </w:p>
        </w:tc>
        <w:tc>
          <w:tcPr/>
          <w:p>
            <w:pPr>
              <w:pStyle w:val="Compact"/>
              <w:jc w:val="right"/>
            </w:pPr>
            <w:r>
              <w:t xml:space="preserve">100.0 %</w:t>
            </w:r>
          </w:p>
        </w:tc>
        <w:tc>
          <w:tcPr/>
          <w:p>
            <w:pPr>
              <w:pStyle w:val="Compact"/>
              <w:jc w:val="left"/>
            </w:pPr>
            <w:r>
              <w:t xml:space="preserve">—</w:t>
            </w:r>
          </w:p>
        </w:tc>
      </w:tr>
      <w:tr>
        <w:tc>
          <w:tcPr/>
          <w:p>
            <w:pPr>
              <w:pStyle w:val="Compact"/>
              <w:jc w:val="left"/>
            </w:pPr>
            <w:r>
              <w:t xml:space="preserve">Midpoint</w:t>
            </w:r>
          </w:p>
        </w:tc>
        <w:tc>
          <w:tcPr/>
          <w:p>
            <w:pPr>
              <w:pStyle w:val="Compact"/>
              <w:jc w:val="right"/>
            </w:pPr>
            <w:r>
              <w:t xml:space="preserve">868</w:t>
            </w:r>
          </w:p>
        </w:tc>
        <w:tc>
          <w:tcPr/>
          <w:p>
            <w:pPr>
              <w:pStyle w:val="Compact"/>
              <w:jc w:val="right"/>
            </w:pPr>
            <w:r>
              <w:t xml:space="preserve">97.1 %</w:t>
            </w:r>
          </w:p>
        </w:tc>
        <w:tc>
          <w:tcPr/>
          <w:p>
            <w:pPr>
              <w:pStyle w:val="Compact"/>
              <w:jc w:val="right"/>
            </w:pPr>
            <w:r>
              <w:t xml:space="preserve">99.4 %</w:t>
            </w:r>
          </w:p>
        </w:tc>
        <w:tc>
          <w:tcPr/>
          <w:p>
            <w:pPr>
              <w:pStyle w:val="Compact"/>
              <w:jc w:val="left"/>
            </w:pPr>
            <w:r>
              <w:t xml:space="preserve">theoretical bound violation</w:t>
            </w:r>
          </w:p>
        </w:tc>
      </w:tr>
      <w:tr>
        <w:tc>
          <w:tcPr/>
          <w:p>
            <w:pPr>
              <w:pStyle w:val="Compact"/>
              <w:jc w:val="left"/>
            </w:pPr>
            <w:r>
              <w:t xml:space="preserve">Endpoint</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91.1 %</w:t>
            </w:r>
          </w:p>
        </w:tc>
        <w:tc>
          <w:tcPr/>
          <w:p>
            <w:pPr>
              <w:pStyle w:val="Compact"/>
              <w:jc w:val="left"/>
            </w:pPr>
            <w:r>
              <w:t xml:space="preserve">endpoint incomplete</w:t>
            </w:r>
          </w:p>
        </w:tc>
      </w:tr>
      <w:tr>
        <w:tc>
          <w:tcPr/>
          <w:p>
            <w:pPr>
              <w:pStyle w:val="Compact"/>
              <w:jc w:val="left"/>
            </w:pPr>
            <w:r>
              <w:t xml:space="preserve">Time value</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100.0 %</w:t>
            </w:r>
          </w:p>
        </w:tc>
        <w:tc>
          <w:tcPr/>
          <w:p>
            <w:pPr>
              <w:pStyle w:val="Compact"/>
              <w:jc w:val="left"/>
            </w:pPr>
            <w:r>
              <w:t xml:space="preserve">—</w:t>
            </w:r>
          </w:p>
        </w:tc>
      </w:tr>
      <w:tr>
        <w:tc>
          <w:tcPr/>
          <w:p>
            <w:pPr>
              <w:pStyle w:val="Compact"/>
              <w:jc w:val="left"/>
            </w:pPr>
            <w:r>
              <w:t xml:space="preserve">Finite shock</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100.0 %</w:t>
            </w:r>
          </w:p>
        </w:tc>
        <w:tc>
          <w:tcPr/>
          <w:p>
            <w:pPr>
              <w:pStyle w:val="Compact"/>
              <w:jc w:val="left"/>
            </w:pPr>
            <w:r>
              <w:t xml:space="preserve">—</w:t>
            </w:r>
          </w:p>
        </w:tc>
      </w:tr>
      <w:tr>
        <w:tc>
          <w:tcPr/>
          <w:p>
            <w:pPr>
              <w:pStyle w:val="Compact"/>
              <w:jc w:val="left"/>
            </w:pPr>
            <w:r>
              <w:t xml:space="preserve">Tolerance</w:t>
            </w:r>
          </w:p>
        </w:tc>
        <w:tc>
          <w:tcPr/>
          <w:p>
            <w:pPr>
              <w:pStyle w:val="Compact"/>
              <w:jc w:val="right"/>
            </w:pPr>
            <w:r>
              <w:t xml:space="preserve">791</w:t>
            </w:r>
          </w:p>
        </w:tc>
        <w:tc>
          <w:tcPr/>
          <w:p>
            <w:pPr>
              <w:pStyle w:val="Compact"/>
              <w:jc w:val="right"/>
            </w:pPr>
            <w:r>
              <w:t xml:space="preserve">88.5 %</w:t>
            </w:r>
          </w:p>
        </w:tc>
        <w:tc>
          <w:tcPr/>
          <w:p>
            <w:pPr>
              <w:pStyle w:val="Compact"/>
              <w:jc w:val="right"/>
            </w:pPr>
            <w:r>
              <w:t xml:space="preserve">100.0 %</w:t>
            </w:r>
          </w:p>
        </w:tc>
        <w:tc>
          <w:tcPr/>
          <w:p>
            <w:pPr>
              <w:pStyle w:val="Compact"/>
              <w:jc w:val="left"/>
            </w:pPr>
            <w:r>
              <w:t xml:space="preserve">—</w:t>
            </w:r>
          </w:p>
        </w:tc>
      </w:tr>
    </w:tbl>
    <w:p>
      <w:pPr>
        <w:pStyle w:val="BodyText"/>
      </w:pPr>
      <w:r>
        <w:rPr>
          <w:i/>
          <w:iCs/>
        </w:rPr>
        <w:t xml:space="preserve">Note: shares are percentages of the attempted total and of the preceding stage. The terminal statuses reconcile to the attempted total of 894 pairs.</w:t>
      </w:r>
    </w:p>
    <w:p>
      <w:pPr>
        <w:pStyle w:val="BodyText"/>
      </w:pPr>
      <w:r>
        <w:t xml:space="preserve">The</w:t>
      </w:r>
      <w:r>
        <w:t xml:space="preserve"> </w:t>
      </w:r>
      <w:r>
        <w:rPr>
          <w:b/>
          <w:bCs/>
        </w:rPr>
        <w:t xml:space="preserve">endpoint</w:t>
      </w:r>
      <w:r>
        <w:t xml:space="preserve"> </w:t>
      </w:r>
      <w:r>
        <w:t xml:space="preserve">stage is where the largest single loss occurs, from</w:t>
      </w:r>
      <w:r>
        <w:t xml:space="preserve"> </w:t>
      </w:r>
      <w:r>
        <w:t xml:space="preserve">868 pairs to 791,</w:t>
      </w:r>
      <w:r>
        <w:t xml:space="preserve"> </w:t>
      </w:r>
      <w:r>
        <w:t xml:space="preserve">and the dominant reason is an incomplete endpoint. This is the stage at</w:t>
      </w:r>
      <w:r>
        <w:t xml:space="preserve"> </w:t>
      </w:r>
      <w:r>
        <w:t xml:space="preserve">which the market’s own price granularity runs out: an endpoint combination</w:t>
      </w:r>
      <w:r>
        <w:t xml:space="preserve"> </w:t>
      </w:r>
      <w:r>
        <w:t xml:space="preserve">that asks the inversion for a root on the far side of the no-arbitrage</w:t>
      </w:r>
      <w:r>
        <w:t xml:space="preserve"> </w:t>
      </w:r>
      <w:r>
        <w:t xml:space="preserve">boundary has no root, and the protocol does not impute one. The</w:t>
      </w:r>
      <w:r>
        <w:t xml:space="preserve"> </w:t>
      </w:r>
      <w:r>
        <w:rPr>
          <w:b/>
          <w:bCs/>
        </w:rPr>
        <w:t xml:space="preserve">tolerance</w:t>
      </w:r>
      <w:r>
        <w:t xml:space="preserve"> </w:t>
      </w:r>
      <w:r>
        <w:t xml:space="preserve">stage removes nothing and separates what it receives: of the</w:t>
      </w:r>
      <w:r>
        <w:t xml:space="preserve"> </w:t>
      </w:r>
      <w:r>
        <w:t xml:space="preserve">791 resolvable pairs,</w:t>
      </w:r>
      <w:r>
        <w:t xml:space="preserve"> </w:t>
      </w:r>
      <w:r>
        <w:t xml:space="preserve">72 are certified at the primary tolerance and</w:t>
      </w:r>
      <w:r>
        <w:t xml:space="preserve"> </w:t>
      </w:r>
      <w:r>
        <w:t xml:space="preserve">719 are identified but not certified. Abstention is</w:t>
      </w:r>
      <w:r>
        <w:t xml:space="preserve"> </w:t>
      </w:r>
      <w:r>
        <w:t xml:space="preserve">therefore 719 pairs held back by the tolerance,</w:t>
      </w:r>
      <w:r>
        <w:t xml:space="preserve"> </w:t>
      </w:r>
      <w:r>
        <w:t xml:space="preserve">77 lost to an incomplete endpoint, and</w:t>
      </w:r>
      <w:r>
        <w:t xml:space="preserve"> </w:t>
      </w:r>
      <w:r>
        <w:t xml:space="preserve">26 lost to a contract, timing or input defect:</w:t>
      </w:r>
      <w:r>
        <w:t xml:space="preserve"> </w:t>
      </w:r>
      <w:r>
        <w:t xml:space="preserve">822 of 894 attempted pairs, or</w:t>
      </w:r>
      <w:r>
        <w:t xml:space="preserve"> </w:t>
      </w:r>
      <w:r>
        <w:t xml:space="preserve">91.9 %.</w:t>
      </w:r>
      <w:r>
        <w:t xml:space="preserve"> </w:t>
      </w:r>
      <w:r>
        <w:t xml:space="preserve">The terminal statuses reconcile as</w:t>
      </w:r>
      <w:r>
        <w:t xml:space="preserve"> </w:t>
      </w:r>
      <w:r>
        <w:t xml:space="preserve">72 resolved within tolerance,</w:t>
      </w:r>
      <w:r>
        <w:t xml:space="preserve"> </w:t>
      </w:r>
      <w:r>
        <w:t xml:space="preserve">719 identified outside</w:t>
      </w:r>
      <w:r>
        <w:t xml:space="preserve"> </w:t>
      </w:r>
      <w:r>
        <w:t xml:space="preserve">tolerance, 77 partially resolved,</w:t>
      </w:r>
      <w:r>
        <w:t xml:space="preserve"> </w:t>
      </w:r>
      <w:r>
        <w:t xml:space="preserve">0 unresolved,</w:t>
      </w:r>
      <w:r>
        <w:t xml:space="preserve"> </w:t>
      </w:r>
      <w:r>
        <w:t xml:space="preserve">13 invalid input,</w:t>
      </w:r>
      <w:r>
        <w:t xml:space="preserve"> </w:t>
      </w:r>
      <w:r>
        <w:t xml:space="preserve">11 timing mismatch and</w:t>
      </w:r>
      <w:r>
        <w:t xml:space="preserve"> </w:t>
      </w:r>
      <w:r>
        <w:t xml:space="preserve">2 contract mismatch, summing to the</w:t>
      </w:r>
      <w:r>
        <w:t xml:space="preserve"> </w:t>
      </w:r>
      <w:r>
        <w:t xml:space="preserve">894 attempted pairs.</w:t>
      </w:r>
    </w:p>
    <w:bookmarkEnd w:id="45"/>
    <w:bookmarkStart w:id="46" w:name="accuracy-and-the-error-profile"/>
    <w:p>
      <w:pPr>
        <w:pStyle w:val="Heading3"/>
      </w:pPr>
      <w:r>
        <w:t xml:space="preserve">6.2 Accuracy, and the error profile</w:t>
      </w:r>
    </w:p>
    <w:p>
      <w:pPr>
        <w:pStyle w:val="FirstParagraph"/>
      </w:pPr>
      <w:r>
        <w:t xml:space="preserve">The protocol’s advantage in the development draw is large, and the kind</w:t>
      </w:r>
      <w:r>
        <w:t xml:space="preserve"> </w:t>
      </w:r>
      <w:r>
        <w:t xml:space="preserve">of advantage matters. The raw midpoint</w:t>
      </w:r>
      <w:r>
        <w:t xml:space="preserve"> </w:t>
      </w:r>
      <w:r>
        <w:t xml:space="preserve">achieves a mean absolute error of 0.532</w:t>
      </w:r>
      <w:r>
        <w:t xml:space="preserve"> </w:t>
      </w:r>
      <w:r>
        <w:t xml:space="preserve">percentage points over 889 scored pairs; the</w:t>
      </w:r>
      <w:r>
        <w:t xml:space="preserve"> </w:t>
      </w:r>
      <w:r>
        <w:t xml:space="preserve">protocol’s certified subset achieves 0.009</w:t>
      </w:r>
      <w:r>
        <w:t xml:space="preserve"> </w:t>
      </w:r>
      <w:r>
        <w:t xml:space="preserve">over 72 pairs, a factor of</w:t>
      </w:r>
      <w:r>
        <w:t xml:space="preserve"> </w:t>
      </w:r>
      <w:r>
        <w:t xml:space="preserve">61 in the benchmark, computed from</w:t>
      </w:r>
      <w:r>
        <w:t xml:space="preserve"> </w:t>
      </w:r>
      <w:r>
        <w:t xml:space="preserve">unrounded values.</w:t>
      </w:r>
      <w:r>
        <w:t xml:space="preserve"> </w:t>
      </w:r>
      <w:r>
        <w:t xml:space="preserve">That number is a</w:t>
      </w:r>
      <w:r>
        <w:t xml:space="preserve"> </w:t>
      </w:r>
      <w:r>
        <w:rPr>
          <w:i/>
          <w:iCs/>
        </w:rPr>
        <w:t xml:space="preserve">selection</w:t>
      </w:r>
      <w:r>
        <w:t xml:space="preserve"> </w:t>
      </w:r>
      <w:r>
        <w:t xml:space="preserve">number. On the common set of</w:t>
      </w:r>
      <w:r>
        <w:t xml:space="preserve"> </w:t>
      </w:r>
      <w:r>
        <w:t xml:space="preserve">72 pairs the two methods are numerically</w:t>
      </w:r>
      <w:r>
        <w:t xml:space="preserve"> </w:t>
      </w:r>
      <w:r>
        <w:t xml:space="preserve">identical and the difference in mean absolute error is exactly zero, so the</w:t>
      </w:r>
      <w:r>
        <w:t xml:space="preserve"> </w:t>
      </w:r>
      <w:r>
        <w:t xml:space="preserve">informative comparison is the one Section 6.4 makes.</w:t>
      </w:r>
      <w:r>
        <w:t xml:space="preserve"> </w:t>
      </w:r>
      <w:r>
        <w:t xml:space="preserve">The error profile in Table 2 shows the shape the mean hides. The raw</w:t>
      </w:r>
      <w:r>
        <w:t xml:space="preserve"> </w:t>
      </w:r>
      <w:r>
        <w:t xml:space="preserve">midpoint’s median absolute error is</w:t>
      </w:r>
      <w:r>
        <w:t xml:space="preserve"> </w:t>
      </w:r>
      <w:r>
        <w:t xml:space="preserve">0.025 percentage points, so its mean of</w:t>
      </w:r>
      <w:r>
        <w:t xml:space="preserve"> </w:t>
      </w:r>
      <w:r>
        <w:t xml:space="preserve">0.532 is carried by a tail: a minority of pairs</w:t>
      </w:r>
      <w:r>
        <w:t xml:space="preserve"> </w:t>
      </w:r>
      <w:r>
        <w:t xml:space="preserve">have errors an order of magnitude larger than the typical pair, and they are</w:t>
      </w:r>
      <w:r>
        <w:t xml:space="preserve"> </w:t>
      </w:r>
      <w:r>
        <w:t xml:space="preserve">exactly the pairs a reader would most want to interrogate. The share of</w:t>
      </w:r>
      <w:r>
        <w:t xml:space="preserve"> </w:t>
      </w:r>
      <w:r>
        <w:t xml:space="preserve">raw-midpoint pairs inside 0.10 percentage points</w:t>
      </w:r>
      <w:r>
        <w:t xml:space="preserve"> </w:t>
      </w:r>
      <w:r>
        <w:t xml:space="preserve">is 82.1 %, against</w:t>
      </w:r>
      <w:r>
        <w:t xml:space="preserve"> </w:t>
      </w:r>
      <w:r>
        <w:t xml:space="preserve">100.0 % for the certified subset,</w:t>
      </w:r>
      <w:r>
        <w:t xml:space="preserve"> </w:t>
      </w:r>
      <w:r>
        <w:t xml:space="preserve">whose maximum absolute error is 0.024. The</w:t>
      </w:r>
      <w:r>
        <w:t xml:space="preserve"> </w:t>
      </w:r>
      <w:r>
        <w:t xml:space="preserve">tail is a set of pairs where the midpoint is not a measurement, and no</w:t>
      </w:r>
      <w:r>
        <w:t xml:space="preserve"> </w:t>
      </w:r>
      <w:r>
        <w:t xml:space="preserve">downstream consumer can tell</w:t>
      </w:r>
      <w:r>
        <w:t xml:space="preserve"> </w:t>
      </w:r>
      <w:r>
        <w:t xml:space="preserve">which those are.</w:t>
      </w:r>
      <w:r>
        <w:t xml:space="preserve"> </w:t>
      </w:r>
      <w:r>
        <w:t xml:space="preserve">The identified set, at</w:t>
      </w:r>
      <w:r>
        <w:t xml:space="preserve"> </w:t>
      </w:r>
      <w:r>
        <w:t xml:space="preserve">791 pairs, sits between the two: its mean</w:t>
      </w:r>
      <w:r>
        <w:t xml:space="preserve"> </w:t>
      </w:r>
      <w:r>
        <w:t xml:space="preserve">absolute error is 0.040, and its share</w:t>
      </w:r>
      <w:r>
        <w:t xml:space="preserve"> </w:t>
      </w:r>
      <w:r>
        <w:t xml:space="preserve">inside 0.10 percentage points is</w:t>
      </w:r>
      <w:r>
        <w:t xml:space="preserve"> </w:t>
      </w:r>
      <w:r>
        <w:t xml:space="preserve">90.5 %. The protocol’s output is</w:t>
      </w:r>
      <w:r>
        <w:t xml:space="preserve"> </w:t>
      </w:r>
      <w:r>
        <w:t xml:space="preserve">graded (certified, identified but imprecise, unresolved), not binary.</w:t>
      </w:r>
    </w:p>
    <w:p>
      <w:pPr>
        <w:pStyle w:val="BodyText"/>
      </w:pPr>
      <w:r>
        <w:rPr>
          <w:b/>
          <w:bCs/>
        </w:rPr>
        <w:t xml:space="preserve">Table 2. Error profile in the benchmark, development draw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Method</w:t>
            </w:r>
          </w:p>
        </w:tc>
        <w:tc>
          <w:tcPr/>
          <w:p>
            <w:pPr>
              <w:pStyle w:val="Compact"/>
              <w:jc w:val="right"/>
            </w:pPr>
            <w:r>
              <w:t xml:space="preserve">n</w:t>
            </w:r>
          </w:p>
        </w:tc>
        <w:tc>
          <w:tcPr/>
          <w:p>
            <w:pPr>
              <w:pStyle w:val="Compact"/>
              <w:jc w:val="right"/>
            </w:pPr>
            <w:r>
              <w:t xml:space="preserve">Mean abs. error</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p95</w:t>
            </w:r>
          </w:p>
        </w:tc>
        <w:tc>
          <w:tcPr/>
          <w:p>
            <w:pPr>
              <w:pStyle w:val="Compact"/>
              <w:jc w:val="right"/>
            </w:pPr>
            <w:r>
              <w:t xml:space="preserve">Max</w:t>
            </w:r>
          </w:p>
        </w:tc>
        <w:tc>
          <w:tcPr/>
          <w:p>
            <w:pPr>
              <w:pStyle w:val="Compact"/>
              <w:jc w:val="right"/>
            </w:pPr>
            <w:r>
              <w:t xml:space="preserve">Within 0.10 pp</w:t>
            </w:r>
          </w:p>
        </w:tc>
      </w:tr>
      <w:tr>
        <w:tc>
          <w:tcPr/>
          <w:p>
            <w:pPr>
              <w:pStyle w:val="Compact"/>
              <w:jc w:val="left"/>
            </w:pPr>
            <w:r>
              <w:t xml:space="preserve">Raw midpoint</w:t>
            </w:r>
          </w:p>
        </w:tc>
        <w:tc>
          <w:tcPr/>
          <w:p>
            <w:pPr>
              <w:pStyle w:val="Compact"/>
              <w:jc w:val="right"/>
            </w:pPr>
            <w:r>
              <w:t xml:space="preserve">889</w:t>
            </w:r>
          </w:p>
        </w:tc>
        <w:tc>
          <w:tcPr/>
          <w:p>
            <w:pPr>
              <w:pStyle w:val="Compact"/>
              <w:jc w:val="right"/>
            </w:pPr>
            <w:r>
              <w:t xml:space="preserve">0.532</w:t>
            </w:r>
          </w:p>
        </w:tc>
        <w:tc>
          <w:tcPr/>
          <w:p>
            <w:pPr>
              <w:pStyle w:val="Compact"/>
              <w:jc w:val="right"/>
            </w:pPr>
            <w:r>
              <w:t xml:space="preserve">0.025</w:t>
            </w:r>
          </w:p>
        </w:tc>
        <w:tc>
          <w:tcPr/>
          <w:p>
            <w:pPr>
              <w:pStyle w:val="Compact"/>
              <w:jc w:val="right"/>
            </w:pPr>
            <w:r>
              <w:t xml:space="preserve">0.261</w:t>
            </w:r>
          </w:p>
        </w:tc>
        <w:tc>
          <w:tcPr/>
          <w:p>
            <w:pPr>
              <w:pStyle w:val="Compact"/>
              <w:jc w:val="right"/>
            </w:pPr>
            <w:r>
              <w:t xml:space="preserve">5.990</w:t>
            </w:r>
          </w:p>
        </w:tc>
        <w:tc>
          <w:tcPr/>
          <w:p>
            <w:pPr>
              <w:pStyle w:val="Compact"/>
              <w:jc w:val="right"/>
            </w:pPr>
            <w:r>
              <w:t xml:space="preserve">10.956</w:t>
            </w:r>
          </w:p>
        </w:tc>
        <w:tc>
          <w:tcPr/>
          <w:p>
            <w:pPr>
              <w:pStyle w:val="Compact"/>
              <w:jc w:val="right"/>
            </w:pPr>
            <w:r>
              <w:t xml:space="preserve">82.1 %</w:t>
            </w:r>
          </w:p>
        </w:tc>
      </w:tr>
      <w:tr>
        <w:tc>
          <w:tcPr/>
          <w:p>
            <w:pPr>
              <w:pStyle w:val="Compact"/>
              <w:jc w:val="left"/>
            </w:pPr>
            <w:r>
              <w:t xml:space="preserve">Bound-filtered</w:t>
            </w:r>
          </w:p>
        </w:tc>
        <w:tc>
          <w:tcPr/>
          <w:p>
            <w:pPr>
              <w:pStyle w:val="Compact"/>
              <w:jc w:val="right"/>
            </w:pPr>
            <w:r>
              <w:t xml:space="preserve">889</w:t>
            </w:r>
          </w:p>
        </w:tc>
        <w:tc>
          <w:tcPr/>
          <w:p>
            <w:pPr>
              <w:pStyle w:val="Compact"/>
              <w:jc w:val="right"/>
            </w:pPr>
            <w:r>
              <w:t xml:space="preserve">0.532</w:t>
            </w:r>
          </w:p>
        </w:tc>
        <w:tc>
          <w:tcPr/>
          <w:p>
            <w:pPr>
              <w:pStyle w:val="Compact"/>
              <w:jc w:val="right"/>
            </w:pPr>
            <w:r>
              <w:t xml:space="preserve">0.025</w:t>
            </w:r>
          </w:p>
        </w:tc>
        <w:tc>
          <w:tcPr/>
          <w:p>
            <w:pPr>
              <w:pStyle w:val="Compact"/>
              <w:jc w:val="right"/>
            </w:pPr>
            <w:r>
              <w:t xml:space="preserve">0.261</w:t>
            </w:r>
          </w:p>
        </w:tc>
        <w:tc>
          <w:tcPr/>
          <w:p>
            <w:pPr>
              <w:pStyle w:val="Compact"/>
              <w:jc w:val="right"/>
            </w:pPr>
            <w:r>
              <w:t xml:space="preserve">5.990</w:t>
            </w:r>
          </w:p>
        </w:tc>
        <w:tc>
          <w:tcPr/>
          <w:p>
            <w:pPr>
              <w:pStyle w:val="Compact"/>
              <w:jc w:val="right"/>
            </w:pPr>
            <w:r>
              <w:t xml:space="preserve">10.956</w:t>
            </w:r>
          </w:p>
        </w:tc>
        <w:tc>
          <w:tcPr/>
          <w:p>
            <w:pPr>
              <w:pStyle w:val="Compact"/>
              <w:jc w:val="right"/>
            </w:pPr>
            <w:r>
              <w:t xml:space="preserve">82.1 %</w:t>
            </w:r>
          </w:p>
        </w:tc>
      </w:tr>
      <w:tr>
        <w:tc>
          <w:tcPr/>
          <w:p>
            <w:pPr>
              <w:pStyle w:val="Compact"/>
              <w:jc w:val="left"/>
            </w:pPr>
            <w:r>
              <w:t xml:space="preserve">Identified</w:t>
            </w:r>
          </w:p>
        </w:tc>
        <w:tc>
          <w:tcPr/>
          <w:p>
            <w:pPr>
              <w:pStyle w:val="Compact"/>
              <w:jc w:val="right"/>
            </w:pPr>
            <w:r>
              <w:t xml:space="preserve">791</w:t>
            </w:r>
          </w:p>
        </w:tc>
        <w:tc>
          <w:tcPr/>
          <w:p>
            <w:pPr>
              <w:pStyle w:val="Compact"/>
              <w:jc w:val="right"/>
            </w:pPr>
            <w:r>
              <w:t xml:space="preserve">0.040</w:t>
            </w:r>
          </w:p>
        </w:tc>
        <w:tc>
          <w:tcPr/>
          <w:p>
            <w:pPr>
              <w:pStyle w:val="Compact"/>
              <w:jc w:val="right"/>
            </w:pPr>
            <w:r>
              <w:t xml:space="preserve">0.021</w:t>
            </w:r>
          </w:p>
        </w:tc>
        <w:tc>
          <w:tcPr/>
          <w:p>
            <w:pPr>
              <w:pStyle w:val="Compact"/>
              <w:jc w:val="right"/>
            </w:pPr>
            <w:r>
              <w:t xml:space="preserve">0.098</w:t>
            </w:r>
          </w:p>
        </w:tc>
        <w:tc>
          <w:tcPr/>
          <w:p>
            <w:pPr>
              <w:pStyle w:val="Compact"/>
              <w:jc w:val="right"/>
            </w:pPr>
            <w:r>
              <w:t xml:space="preserve">0.143</w:t>
            </w:r>
          </w:p>
        </w:tc>
        <w:tc>
          <w:tcPr/>
          <w:p>
            <w:pPr>
              <w:pStyle w:val="Compact"/>
              <w:jc w:val="right"/>
            </w:pPr>
            <w:r>
              <w:t xml:space="preserve">0.415</w:t>
            </w:r>
          </w:p>
        </w:tc>
        <w:tc>
          <w:tcPr/>
          <w:p>
            <w:pPr>
              <w:pStyle w:val="Compact"/>
              <w:jc w:val="right"/>
            </w:pPr>
            <w:r>
              <w:t xml:space="preserve">90.5 %</w:t>
            </w:r>
          </w:p>
        </w:tc>
      </w:tr>
      <w:tr>
        <w:tc>
          <w:tcPr/>
          <w:p>
            <w:pPr>
              <w:pStyle w:val="Compact"/>
              <w:jc w:val="left"/>
            </w:pPr>
            <w:r>
              <w:t xml:space="preserve">Certified</w:t>
            </w:r>
          </w:p>
        </w:tc>
        <w:tc>
          <w:tcPr/>
          <w:p>
            <w:pPr>
              <w:pStyle w:val="Compact"/>
              <w:jc w:val="right"/>
            </w:pPr>
            <w:r>
              <w:t xml:space="preserve">72</w:t>
            </w:r>
          </w:p>
        </w:tc>
        <w:tc>
          <w:tcPr/>
          <w:p>
            <w:pPr>
              <w:pStyle w:val="Compact"/>
              <w:jc w:val="right"/>
            </w:pPr>
            <w:r>
              <w:t xml:space="preserve">0.009</w:t>
            </w:r>
          </w:p>
        </w:tc>
        <w:tc>
          <w:tcPr/>
          <w:p>
            <w:pPr>
              <w:pStyle w:val="Compact"/>
              <w:jc w:val="right"/>
            </w:pPr>
            <w:r>
              <w:t xml:space="preserve">0.007</w:t>
            </w:r>
          </w:p>
        </w:tc>
        <w:tc>
          <w:tcPr/>
          <w:p>
            <w:pPr>
              <w:pStyle w:val="Compact"/>
              <w:jc w:val="right"/>
            </w:pPr>
            <w:r>
              <w:t xml:space="preserve">0.018</w:t>
            </w:r>
          </w:p>
        </w:tc>
        <w:tc>
          <w:tcPr/>
          <w:p>
            <w:pPr>
              <w:pStyle w:val="Compact"/>
              <w:jc w:val="right"/>
            </w:pPr>
            <w:r>
              <w:t xml:space="preserve">0.021</w:t>
            </w:r>
          </w:p>
        </w:tc>
        <w:tc>
          <w:tcPr/>
          <w:p>
            <w:pPr>
              <w:pStyle w:val="Compact"/>
              <w:jc w:val="right"/>
            </w:pPr>
            <w:r>
              <w:t xml:space="preserve">0.024</w:t>
            </w:r>
          </w:p>
        </w:tc>
        <w:tc>
          <w:tcPr/>
          <w:p>
            <w:pPr>
              <w:pStyle w:val="Compact"/>
              <w:jc w:val="right"/>
            </w:pPr>
            <w:r>
              <w:t xml:space="preserve">100.0 %</w:t>
            </w:r>
          </w:p>
        </w:tc>
      </w:tr>
    </w:tbl>
    <w:p>
      <w:pPr>
        <w:pStyle w:val="BodyText"/>
      </w:pPr>
      <w:r>
        <w:rPr>
          <w:i/>
          <w:iCs/>
        </w:rPr>
        <w:t xml:space="preserve">Note: all errors are absolute errors in percentage points of volatility against the benchmark’s defined truth, on each method’s own set. The bound-filtered baseline is numerically identical to the raw midpoint in this draw, because the bound filter removed no pair the raw midpoint could otherwise have used.</w:t>
      </w:r>
    </w:p>
    <w:bookmarkEnd w:id="46"/>
    <w:bookmarkStart w:id="47" w:name="coverage"/>
    <w:p>
      <w:pPr>
        <w:pStyle w:val="Heading3"/>
      </w:pPr>
      <w:r>
        <w:t xml:space="preserve">6.3 Coverage</w:t>
      </w:r>
    </w:p>
    <w:p>
      <w:pPr>
        <w:pStyle w:val="FirstParagraph"/>
      </w:pPr>
      <w:r>
        <w:t xml:space="preserve">The coverage of certification in the development draw is</w:t>
      </w:r>
      <w:r>
        <w:t xml:space="preserve"> </w:t>
      </w:r>
      <w:r>
        <w:t xml:space="preserve">8.1 % of attempted pairs at the primary</w:t>
      </w:r>
      <w:r>
        <w:t xml:space="preserve"> </w:t>
      </w:r>
      <w:r>
        <w:t xml:space="preserve">tolerance of 0.10 percentage points, which is</w:t>
      </w:r>
      <w:r>
        <w:t xml:space="preserve"> </w:t>
      </w:r>
      <w:r>
        <w:t xml:space="preserve">72 pairs. At the tighter tolerance of 0.05</w:t>
      </w:r>
      <w:r>
        <w:t xml:space="preserve"> </w:t>
      </w:r>
      <w:r>
        <w:t xml:space="preserve">percentage points the coverage is 0.0 % and no</w:t>
      </w:r>
      <w:r>
        <w:t xml:space="preserve"> </w:t>
      </w:r>
      <w:r>
        <w:t xml:space="preserve">pair at all is certified; at the looser tolerance of 0.25 percentage points</w:t>
      </w:r>
      <w:r>
        <w:t xml:space="preserve"> </w:t>
      </w:r>
      <w:r>
        <w:t xml:space="preserve">it is 32.8 %, or</w:t>
      </w:r>
      <w:r>
        <w:t xml:space="preserve"> </w:t>
      </w:r>
      <w:r>
        <w:t xml:space="preserve">293 pairs.</w:t>
      </w:r>
    </w:p>
    <w:p>
      <w:pPr>
        <w:pStyle w:val="BodyText"/>
      </w:pPr>
      <w:r>
        <w:t xml:space="preserve">A coverage of zero at the tightest tolerance is not a degenerate case: the</w:t>
      </w:r>
      <w:r>
        <w:t xml:space="preserve"> </w:t>
      </w:r>
      <w:r>
        <w:t xml:space="preserve">benchmark’s quote widths and its true spread are of comparable size, so the</w:t>
      </w:r>
      <w:r>
        <w:t xml:space="preserve"> </w:t>
      </w:r>
      <w:r>
        <w:t xml:space="preserve">0.05 pp standard is beyond what the quotes support for essentially every</w:t>
      </w:r>
      <w:r>
        <w:t xml:space="preserve"> </w:t>
      </w:r>
      <w:r>
        <w:t xml:space="preserve">pair. A practitioner who demands a tighter standard than the market supports</w:t>
      </w:r>
      <w:r>
        <w:t xml:space="preserve"> </w:t>
      </w:r>
      <w:r>
        <w:t xml:space="preserve">should receive nothing, and does.</w:t>
      </w:r>
    </w:p>
    <w:p>
      <w:pPr>
        <w:pStyle w:val="BodyText"/>
      </w:pPr>
      <w:r>
        <w:t xml:space="preserve">The error avoided by abstention — the raw-midpoint error on the pairs the</w:t>
      </w:r>
      <w:r>
        <w:t xml:space="preserve"> </w:t>
      </w:r>
      <w:r>
        <w:t xml:space="preserve">protocol declined to certify — is</w:t>
      </w:r>
      <w:r>
        <w:t xml:space="preserve"> </w:t>
      </w:r>
      <w:r>
        <w:t xml:space="preserve">0.578 percentage</w:t>
      </w:r>
      <w:r>
        <w:t xml:space="preserve"> </w:t>
      </w:r>
      <w:r>
        <w:t xml:space="preserve">points in the development draw, with interval</w:t>
      </w:r>
      <w:r>
        <w:t xml:space="preserve"> </w:t>
      </w:r>
      <w:r>
        <w:t xml:space="preserve">[0.547,</w:t>
      </w:r>
      <w:r>
        <w:t xml:space="preserve"> </w:t>
      </w:r>
      <w:r>
        <w:t xml:space="preserve">0.606]. This is the</w:t>
      </w:r>
      <w:r>
        <w:t xml:space="preserve"> </w:t>
      </w:r>
      <w:r>
        <w:t xml:space="preserve">price of the abstention expressed as an error rather than a coverage: the</w:t>
      </w:r>
      <w:r>
        <w:t xml:space="preserve"> </w:t>
      </w:r>
      <w:r>
        <w:t xml:space="preserve">protocol declines to certify the pairs that would have been wrong by close</w:t>
      </w:r>
      <w:r>
        <w:t xml:space="preserve"> </w:t>
      </w:r>
      <w:r>
        <w:t xml:space="preserve">to six tenths of a percentage point on average.</w:t>
      </w:r>
    </w:p>
    <w:bookmarkEnd w:id="47"/>
    <w:bookmarkStart w:id="51" w:name="the-selection-frontier"/>
    <w:p>
      <w:pPr>
        <w:pStyle w:val="Heading3"/>
      </w:pPr>
      <w:r>
        <w:t xml:space="preserve">6.4 The selection frontier</w:t>
      </w:r>
    </w:p>
    <w:p>
      <w:pPr>
        <w:pStyle w:val="FirstParagraph"/>
      </w:pPr>
      <w:r>
        <w:t xml:space="preserve">The frontier (Table 3) is the paper’s central result.</w:t>
      </w:r>
      <w:r>
        <w:t xml:space="preserve"> </w:t>
      </w:r>
      <w:r>
        <w:t xml:space="preserve">At the primary tolerance of 0.10 percentage points, the certified subset in</w:t>
      </w:r>
      <w:r>
        <w:t xml:space="preserve"> </w:t>
      </w:r>
      <w:r>
        <w:t xml:space="preserve">the development draw has a mean absolute error of</w:t>
      </w:r>
      <w:r>
        <w:t xml:space="preserve"> </w:t>
      </w:r>
      <w:r>
        <w:t xml:space="preserve">0.009 percentage points, while a pair-null draw of</w:t>
      </w:r>
      <w:r>
        <w:t xml:space="preserve"> </w:t>
      </w:r>
      <w:r>
        <w:t xml:space="preserve">the same size has a mean of 0.524 and a</w:t>
      </w:r>
      <w:r>
        <w:t xml:space="preserve"> </w:t>
      </w:r>
      <w:r>
        <w:t xml:space="preserve">day-block null a mean of 0.534. The</w:t>
      </w:r>
      <w:r>
        <w:t xml:space="preserve"> </w:t>
      </w:r>
      <w:r>
        <w:t xml:space="preserve">certified set is far below both nulls, and the add-one p-values are</w:t>
      </w:r>
      <w:r>
        <w:t xml:space="preserve"> </w:t>
      </w:r>
      <w:r>
        <w:t xml:space="preserve">0.0005 against the pair null and</w:t>
      </w:r>
      <w:r>
        <w:t xml:space="preserve"> </w:t>
      </w:r>
      <w:r>
        <w:t xml:space="preserve">0.0005 against the day-block null.</w:t>
      </w:r>
    </w:p>
    <w:p>
      <w:pPr>
        <w:pStyle w:val="BodyText"/>
      </w:pPr>
      <w:r>
        <w:rPr>
          <w:b/>
          <w:bCs/>
        </w:rPr>
        <w:t xml:space="preserve">Table 3. The selection frontier in the benchmark, development draw</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w:r>
              <w:t xml:space="preserve">Tolerance (pp)</w:t>
            </w:r>
          </w:p>
        </w:tc>
        <w:tc>
          <w:tcPr/>
          <w:p>
            <w:pPr>
              <w:pStyle w:val="Compact"/>
              <w:jc w:val="right"/>
            </w:pPr>
            <w:r>
              <w:t xml:space="preserve">Certified</w:t>
            </w:r>
          </w:p>
        </w:tc>
        <w:tc>
          <w:tcPr/>
          <w:p>
            <w:pPr>
              <w:pStyle w:val="Compact"/>
              <w:jc w:val="right"/>
            </w:pPr>
            <w:r>
              <w:t xml:space="preserve">Coverage</w:t>
            </w:r>
          </w:p>
        </w:tc>
        <w:tc>
          <w:tcPr/>
          <w:p>
            <w:pPr>
              <w:pStyle w:val="Compact"/>
              <w:jc w:val="right"/>
            </w:pPr>
            <w:r>
              <w:t xml:space="preserve">MAE certified</w:t>
            </w:r>
          </w:p>
        </w:tc>
        <w:tc>
          <w:tcPr/>
          <w:p>
            <w:pPr>
              <w:pStyle w:val="Compact"/>
              <w:jc w:val="right"/>
            </w:pPr>
            <w:r>
              <w:t xml:space="preserve">MAE abstained</w:t>
            </w:r>
          </w:p>
        </w:tc>
        <w:tc>
          <w:tcPr/>
          <w:p>
            <w:pPr>
              <w:pStyle w:val="Compact"/>
              <w:jc w:val="right"/>
            </w:pPr>
            <w:r>
              <w:t xml:space="preserve">Pair null mean</w:t>
            </w:r>
          </w:p>
        </w:tc>
        <w:tc>
          <w:tcPr/>
          <w:p>
            <w:pPr>
              <w:pStyle w:val="Compact"/>
              <w:jc w:val="right"/>
            </w:pPr>
            <w:r>
              <w:t xml:space="preserve">Block null mean</w:t>
            </w:r>
          </w:p>
        </w:tc>
        <w:tc>
          <w:tcPr/>
          <w:p>
            <w:pPr>
              <w:pStyle w:val="Compact"/>
              <w:jc w:val="right"/>
            </w:pPr>
            <w:r>
              <w:t xml:space="preserve">p (pair)</w:t>
            </w:r>
          </w:p>
        </w:tc>
        <w:tc>
          <w:tcPr/>
          <w:p>
            <w:pPr>
              <w:pStyle w:val="Compact"/>
              <w:jc w:val="right"/>
            </w:pPr>
            <w:r>
              <w:t xml:space="preserve">p (block)</w:t>
            </w:r>
          </w:p>
        </w:tc>
      </w:tr>
      <w:tr>
        <w:tc>
          <w:tcPr/>
          <w:p>
            <w:pPr>
              <w:pStyle w:val="Compact"/>
              <w:jc w:val="right"/>
            </w:pPr>
            <w:r>
              <w:t xml:space="preserve">0.075</w:t>
            </w:r>
          </w:p>
        </w:tc>
        <w:tc>
          <w:tcPr/>
          <w:p>
            <w:pPr>
              <w:pStyle w:val="Compact"/>
              <w:jc w:val="right"/>
            </w:pPr>
            <w:r>
              <w:t xml:space="preserve">6</w:t>
            </w:r>
          </w:p>
        </w:tc>
        <w:tc>
          <w:tcPr/>
          <w:p>
            <w:pPr>
              <w:pStyle w:val="Compact"/>
              <w:jc w:val="right"/>
            </w:pPr>
            <w:r>
              <w:t xml:space="preserve">0.7 %</w:t>
            </w:r>
          </w:p>
        </w:tc>
        <w:tc>
          <w:tcPr/>
          <w:p>
            <w:pPr>
              <w:pStyle w:val="Compact"/>
              <w:jc w:val="right"/>
            </w:pPr>
            <w:r>
              <w:t xml:space="preserve">0.008</w:t>
            </w:r>
          </w:p>
        </w:tc>
        <w:tc>
          <w:tcPr/>
          <w:p>
            <w:pPr>
              <w:pStyle w:val="Compact"/>
              <w:jc w:val="right"/>
            </w:pPr>
            <w:r>
              <w:t xml:space="preserve">0.535</w:t>
            </w:r>
          </w:p>
        </w:tc>
        <w:tc>
          <w:tcPr/>
          <w:p>
            <w:pPr>
              <w:pStyle w:val="Compact"/>
              <w:jc w:val="right"/>
            </w:pPr>
            <w:r>
              <w:t xml:space="preserve">0.542</w:t>
            </w:r>
          </w:p>
        </w:tc>
        <w:tc>
          <w:tcPr/>
          <w:p>
            <w:pPr>
              <w:pStyle w:val="Compact"/>
              <w:jc w:val="right"/>
            </w:pPr>
            <w:r>
              <w:t xml:space="preserve">0.531</w:t>
            </w:r>
          </w:p>
        </w:tc>
        <w:tc>
          <w:tcPr/>
          <w:p>
            <w:pPr>
              <w:pStyle w:val="Compact"/>
              <w:jc w:val="right"/>
            </w:pPr>
            <w:r>
              <w:t xml:space="preserve">0.0035</w:t>
            </w:r>
          </w:p>
        </w:tc>
        <w:tc>
          <w:tcPr/>
          <w:p>
            <w:pPr>
              <w:pStyle w:val="Compact"/>
              <w:jc w:val="right"/>
            </w:pPr>
            <w:r>
              <w:t xml:space="preserve">0.0045</w:t>
            </w:r>
          </w:p>
        </w:tc>
      </w:tr>
      <w:tr>
        <w:tc>
          <w:tcPr/>
          <w:p>
            <w:pPr>
              <w:pStyle w:val="Compact"/>
              <w:jc w:val="right"/>
            </w:pPr>
            <w:r>
              <w:t xml:space="preserve">0.10</w:t>
            </w:r>
          </w:p>
        </w:tc>
        <w:tc>
          <w:tcPr/>
          <w:p>
            <w:pPr>
              <w:pStyle w:val="Compact"/>
              <w:jc w:val="right"/>
            </w:pPr>
            <w:r>
              <w:t xml:space="preserve">72</w:t>
            </w:r>
          </w:p>
        </w:tc>
        <w:tc>
          <w:tcPr/>
          <w:p>
            <w:pPr>
              <w:pStyle w:val="Compact"/>
              <w:jc w:val="right"/>
            </w:pPr>
            <w:r>
              <w:t xml:space="preserve">8.1 %</w:t>
            </w:r>
          </w:p>
        </w:tc>
        <w:tc>
          <w:tcPr/>
          <w:p>
            <w:pPr>
              <w:pStyle w:val="Compact"/>
              <w:jc w:val="right"/>
            </w:pPr>
            <w:r>
              <w:t xml:space="preserve">0.009</w:t>
            </w:r>
          </w:p>
        </w:tc>
        <w:tc>
          <w:tcPr/>
          <w:p>
            <w:pPr>
              <w:pStyle w:val="Compact"/>
              <w:jc w:val="right"/>
            </w:pPr>
            <w:r>
              <w:t xml:space="preserve">0.578</w:t>
            </w:r>
          </w:p>
        </w:tc>
        <w:tc>
          <w:tcPr/>
          <w:p>
            <w:pPr>
              <w:pStyle w:val="Compact"/>
              <w:jc w:val="right"/>
            </w:pPr>
            <w:r>
              <w:t xml:space="preserve">0.524</w:t>
            </w:r>
          </w:p>
        </w:tc>
        <w:tc>
          <w:tcPr/>
          <w:p>
            <w:pPr>
              <w:pStyle w:val="Compact"/>
              <w:jc w:val="right"/>
            </w:pPr>
            <w:r>
              <w:t xml:space="preserve">0.534</w:t>
            </w:r>
          </w:p>
        </w:tc>
        <w:tc>
          <w:tcPr/>
          <w:p>
            <w:pPr>
              <w:pStyle w:val="Compact"/>
              <w:jc w:val="right"/>
            </w:pPr>
            <w:r>
              <w:t xml:space="preserve">0.0005</w:t>
            </w:r>
          </w:p>
        </w:tc>
        <w:tc>
          <w:tcPr/>
          <w:p>
            <w:pPr>
              <w:pStyle w:val="Compact"/>
              <w:jc w:val="right"/>
            </w:pPr>
            <w:r>
              <w:t xml:space="preserve">0.0005</w:t>
            </w:r>
          </w:p>
        </w:tc>
      </w:tr>
      <w:tr>
        <w:tc>
          <w:tcPr/>
          <w:p>
            <w:pPr>
              <w:pStyle w:val="Compact"/>
              <w:jc w:val="right"/>
            </w:pPr>
            <w:r>
              <w:t xml:space="preserve">0.15</w:t>
            </w:r>
          </w:p>
        </w:tc>
        <w:tc>
          <w:tcPr/>
          <w:p>
            <w:pPr>
              <w:pStyle w:val="Compact"/>
              <w:jc w:val="right"/>
            </w:pPr>
            <w:r>
              <w:t xml:space="preserve">157</w:t>
            </w:r>
          </w:p>
        </w:tc>
        <w:tc>
          <w:tcPr/>
          <w:p>
            <w:pPr>
              <w:pStyle w:val="Compact"/>
              <w:jc w:val="right"/>
            </w:pPr>
            <w:r>
              <w:t xml:space="preserve">17.7 %</w:t>
            </w:r>
          </w:p>
        </w:tc>
        <w:tc>
          <w:tcPr/>
          <w:p>
            <w:pPr>
              <w:pStyle w:val="Compact"/>
              <w:jc w:val="right"/>
            </w:pPr>
            <w:r>
              <w:t xml:space="preserve">0.010</w:t>
            </w:r>
          </w:p>
        </w:tc>
        <w:tc>
          <w:tcPr/>
          <w:p>
            <w:pPr>
              <w:pStyle w:val="Compact"/>
              <w:jc w:val="right"/>
            </w:pPr>
            <w:r>
              <w:t xml:space="preserve">0.643</w:t>
            </w:r>
          </w:p>
        </w:tc>
        <w:tc>
          <w:tcPr/>
          <w:p>
            <w:pPr>
              <w:pStyle w:val="Compact"/>
              <w:jc w:val="right"/>
            </w:pPr>
            <w:r>
              <w:t xml:space="preserve">0.530</w:t>
            </w:r>
          </w:p>
        </w:tc>
        <w:tc>
          <w:tcPr/>
          <w:p>
            <w:pPr>
              <w:pStyle w:val="Compact"/>
              <w:jc w:val="right"/>
            </w:pPr>
            <w:r>
              <w:t xml:space="preserve">0.532</w:t>
            </w:r>
          </w:p>
        </w:tc>
        <w:tc>
          <w:tcPr/>
          <w:p>
            <w:pPr>
              <w:pStyle w:val="Compact"/>
              <w:jc w:val="right"/>
            </w:pPr>
            <w:r>
              <w:t xml:space="preserve">0.0005</w:t>
            </w:r>
          </w:p>
        </w:tc>
        <w:tc>
          <w:tcPr/>
          <w:p>
            <w:pPr>
              <w:pStyle w:val="Compact"/>
              <w:jc w:val="right"/>
            </w:pPr>
            <w:r>
              <w:t xml:space="preserve">0.0005</w:t>
            </w:r>
          </w:p>
        </w:tc>
      </w:tr>
      <w:tr>
        <w:tc>
          <w:tcPr/>
          <w:p>
            <w:pPr>
              <w:pStyle w:val="Compact"/>
              <w:jc w:val="right"/>
            </w:pPr>
            <w:r>
              <w:t xml:space="preserve">0.25</w:t>
            </w:r>
          </w:p>
        </w:tc>
        <w:tc>
          <w:tcPr/>
          <w:p>
            <w:pPr>
              <w:pStyle w:val="Compact"/>
              <w:jc w:val="right"/>
            </w:pPr>
            <w:r>
              <w:t xml:space="preserve">293</w:t>
            </w:r>
          </w:p>
        </w:tc>
        <w:tc>
          <w:tcPr/>
          <w:p>
            <w:pPr>
              <w:pStyle w:val="Compact"/>
              <w:jc w:val="right"/>
            </w:pPr>
            <w:r>
              <w:t xml:space="preserve">33.0 %</w:t>
            </w:r>
          </w:p>
        </w:tc>
        <w:tc>
          <w:tcPr/>
          <w:p>
            <w:pPr>
              <w:pStyle w:val="Compact"/>
              <w:jc w:val="right"/>
            </w:pPr>
            <w:r>
              <w:t xml:space="preserve">0.014</w:t>
            </w:r>
          </w:p>
        </w:tc>
        <w:tc>
          <w:tcPr/>
          <w:p>
            <w:pPr>
              <w:pStyle w:val="Compact"/>
              <w:jc w:val="right"/>
            </w:pPr>
            <w:r>
              <w:t xml:space="preserve">0.786</w:t>
            </w:r>
          </w:p>
        </w:tc>
        <w:tc>
          <w:tcPr/>
          <w:p>
            <w:pPr>
              <w:pStyle w:val="Compact"/>
              <w:jc w:val="right"/>
            </w:pPr>
            <w:r>
              <w:t xml:space="preserve">0.534</w:t>
            </w:r>
          </w:p>
        </w:tc>
        <w:tc>
          <w:tcPr/>
          <w:p>
            <w:pPr>
              <w:pStyle w:val="Compact"/>
              <w:jc w:val="right"/>
            </w:pPr>
            <w:r>
              <w:t xml:space="preserve">0.530</w:t>
            </w:r>
          </w:p>
        </w:tc>
        <w:tc>
          <w:tcPr/>
          <w:p>
            <w:pPr>
              <w:pStyle w:val="Compact"/>
              <w:jc w:val="right"/>
            </w:pPr>
            <w:r>
              <w:t xml:space="preserve">0.0005</w:t>
            </w:r>
          </w:p>
        </w:tc>
        <w:tc>
          <w:tcPr/>
          <w:p>
            <w:pPr>
              <w:pStyle w:val="Compact"/>
              <w:jc w:val="right"/>
            </w:pPr>
            <w:r>
              <w:t xml:space="preserve">0.0005</w:t>
            </w:r>
          </w:p>
        </w:tc>
      </w:tr>
    </w:tbl>
    <w:p>
      <w:pPr>
        <w:pStyle w:val="BodyText"/>
      </w:pPr>
      <w:r>
        <w:rPr>
          <w:i/>
          <w:iCs/>
        </w:rPr>
        <w:t xml:space="preserve">Note: each null draws a subset of exactly the certified size from the same scored universe, over 2000 Monte Carlo trials. The day-block null draws whole underlying-days with replacement. The p-values are add-one estimates. The 0.05 pp row is omitted because no pair is certified at that tolerance in this draw. Coverage is the scored-universe share; Section 6.3 reports the share of attempted. Supplementary B.3 gives the full axis.</w:t>
      </w:r>
    </w:p>
    <w:p>
      <w:pPr>
        <w:pStyle w:val="CaptionedFigure"/>
      </w:pPr>
      <w:r>
        <w:drawing>
          <wp:inline>
            <wp:extent cx="5334000" cy="2209800"/>
            <wp:effectExtent b="0" l="0" r="0" t="0"/>
            <wp:docPr descr="Figure 1. (a) Certified mean absolute error against the certification tolerance, with the pair-null 5th to 95th percentile band and the day-block null mean, on a log scale; the nulls sit about sixty times above the certified error. (b) Certified coverage across the ten market specifications at the primary tolerance. Benchmark only; development draw throughout." title="" id="49" name="Picture"/>
            <a:graphic>
              <a:graphicData uri="http://schemas.openxmlformats.org/drawingml/2006/picture">
                <pic:pic>
                  <pic:nvPicPr>
                    <pic:cNvPr descr="figures/figure_1.png" id="50" name="Picture"/>
                    <pic:cNvPicPr>
                      <a:picLocks noChangeArrowheads="1" noChangeAspect="1"/>
                    </pic:cNvPicPr>
                  </pic:nvPicPr>
                  <pic:blipFill>
                    <a:blip r:embed="rId48"/>
                    <a:stretch>
                      <a:fillRect/>
                    </a:stretch>
                  </pic:blipFill>
                  <pic:spPr bwMode="auto">
                    <a:xfrm>
                      <a:off x="0" y="0"/>
                      <a:ext cx="5334000" cy="22098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Certified mean absolute error against the certification</w:t>
      </w:r>
      <w:r>
        <w:t xml:space="preserve"> </w:t>
      </w:r>
      <w:r>
        <w:t xml:space="preserve">tolerance, with the pair-null 5th to 95th percentile band and the day-block</w:t>
      </w:r>
      <w:r>
        <w:t xml:space="preserve"> </w:t>
      </w:r>
      <w:r>
        <w:t xml:space="preserve">null mean, on a log scale; the nulls sit about sixty times above the</w:t>
      </w:r>
      <w:r>
        <w:t xml:space="preserve"> </w:t>
      </w:r>
      <w:r>
        <w:t xml:space="preserve">certified error. (b) Certified coverage across the ten market specifications</w:t>
      </w:r>
      <w:r>
        <w:t xml:space="preserve"> </w:t>
      </w:r>
      <w:r>
        <w:t xml:space="preserve">at the primary tolerance. Benchmark only; development draw</w:t>
      </w:r>
      <w:r>
        <w:t xml:space="preserve"> </w:t>
      </w:r>
      <w:r>
        <w:t xml:space="preserve">throughout.</w:t>
      </w:r>
    </w:p>
    <w:p>
      <w:pPr>
        <w:pStyle w:val="BodyText"/>
      </w:pPr>
      <w:r>
        <w:t xml:space="preserve">Two readings are possible. The favorable one: the rule is picking out pairs</w:t>
      </w:r>
      <w:r>
        <w:t xml:space="preserve"> </w:t>
      </w:r>
      <w:r>
        <w:t xml:space="preserve">that are genuinely easier to measure, which a random selection would not.</w:t>
      </w:r>
      <w:r>
        <w:t xml:space="preserve"> </w:t>
      </w:r>
      <w:r>
        <w:t xml:space="preserve">The skeptical one: the certified subset is small, and a small subset of a</w:t>
      </w:r>
      <w:r>
        <w:t xml:space="preserve"> </w:t>
      </w:r>
      <w:r>
        <w:t xml:space="preserve">noisy population tends to have a smaller error even when the selection is</w:t>
      </w:r>
      <w:r>
        <w:t xml:space="preserve"> </w:t>
      </w:r>
      <w:r>
        <w:t xml:space="preserve">random. The size-matched nulls address the second reading, and the certified</w:t>
      </w:r>
      <w:r>
        <w:t xml:space="preserve"> </w:t>
      </w:r>
      <w:r>
        <w:t xml:space="preserve">set beats both by a wide margin — in this draw. Section 6.6 reports the same</w:t>
      </w:r>
      <w:r>
        <w:t xml:space="preserve"> </w:t>
      </w:r>
      <w:r>
        <w:t xml:space="preserve">test across 23.</w:t>
      </w:r>
    </w:p>
    <w:bookmarkEnd w:id="51"/>
    <w:bookmarkStart w:id="52" w:name="replication-across-draws"/>
    <w:p>
      <w:pPr>
        <w:pStyle w:val="Heading3"/>
      </w:pPr>
      <w:r>
        <w:t xml:space="preserve">6.5 Replication across draws</w:t>
      </w:r>
    </w:p>
    <w:p>
      <w:pPr>
        <w:pStyle w:val="FirstParagraph"/>
      </w:pPr>
      <w:r>
        <w:t xml:space="preserve">The seed sweep repeats the whole study on 23 declared replication seeds. The</w:t>
      </w:r>
      <w:r>
        <w:t xml:space="preserve"> </w:t>
      </w:r>
      <w:r>
        <w:t xml:space="preserve">headline quantities are reported as distributions (Table 4).</w:t>
      </w:r>
    </w:p>
    <w:p>
      <w:pPr>
        <w:pStyle w:val="BodyText"/>
      </w:pPr>
      <w:r>
        <w:rPr>
          <w:b/>
          <w:bCs/>
        </w:rPr>
        <w:t xml:space="preserve">Table 4. The replication distribution, 23 draws in the benchmark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Quantity</w:t>
            </w:r>
          </w:p>
        </w:tc>
        <w:tc>
          <w:tcPr/>
          <w:p>
            <w:pPr>
              <w:pStyle w:val="Compact"/>
              <w:jc w:val="right"/>
            </w:pPr>
            <w:r>
              <w:t xml:space="preserve">Median</w:t>
            </w:r>
          </w:p>
        </w:tc>
        <w:tc>
          <w:tcPr/>
          <w:p>
            <w:pPr>
              <w:pStyle w:val="Compact"/>
              <w:jc w:val="right"/>
            </w:pPr>
            <w:r>
              <w:t xml:space="preserve">IQR</w:t>
            </w:r>
          </w:p>
        </w:tc>
        <w:tc>
          <w:tcPr/>
          <w:p>
            <w:pPr>
              <w:pStyle w:val="Compact"/>
              <w:jc w:val="left"/>
            </w:pPr>
            <w:r>
              <w:t xml:space="preserve">Range</w:t>
            </w:r>
          </w:p>
        </w:tc>
      </w:tr>
      <w:tr>
        <w:tc>
          <w:tcPr/>
          <w:p>
            <w:pPr>
              <w:pStyle w:val="Compact"/>
              <w:jc w:val="left"/>
            </w:pPr>
            <w:r>
              <w:t xml:space="preserve">Certified coverage</w:t>
            </w:r>
          </w:p>
        </w:tc>
        <w:tc>
          <w:tcPr/>
          <w:p>
            <w:pPr>
              <w:pStyle w:val="Compact"/>
              <w:jc w:val="right"/>
            </w:pPr>
            <w:r>
              <w:t xml:space="preserve">8.2 %</w:t>
            </w:r>
          </w:p>
        </w:tc>
        <w:tc>
          <w:tcPr/>
          <w:p>
            <w:pPr>
              <w:pStyle w:val="Compact"/>
              <w:jc w:val="right"/>
            </w:pPr>
            <w:r>
              <w:t xml:space="preserve">8.1 – 8.5 %</w:t>
            </w:r>
          </w:p>
        </w:tc>
        <w:tc>
          <w:tcPr/>
          <w:p>
            <w:pPr>
              <w:pStyle w:val="Compact"/>
              <w:jc w:val="left"/>
            </w:pPr>
            <w:r>
              <w:t xml:space="preserve">7.9 – 10.1 %</w:t>
            </w:r>
          </w:p>
        </w:tc>
      </w:tr>
      <w:tr>
        <w:tc>
          <w:tcPr/>
          <w:p>
            <w:pPr>
              <w:pStyle w:val="Compact"/>
              <w:jc w:val="left"/>
            </w:pPr>
            <w:r>
              <w:t xml:space="preserve">Certified MAE</w:t>
            </w:r>
          </w:p>
        </w:tc>
        <w:tc>
          <w:tcPr/>
          <w:p>
            <w:pPr>
              <w:pStyle w:val="Compact"/>
              <w:jc w:val="right"/>
            </w:pPr>
            <w:r>
              <w:t xml:space="preserve">0.009 pp</w:t>
            </w:r>
          </w:p>
        </w:tc>
        <w:tc>
          <w:tcPr/>
          <w:p>
            <w:pPr>
              <w:pStyle w:val="Compact"/>
              <w:jc w:val="right"/>
            </w:pPr>
            <w:r>
              <w:t xml:space="preserve">0.008 – 0.010</w:t>
            </w:r>
          </w:p>
        </w:tc>
        <w:tc>
          <w:tcPr/>
          <w:p>
            <w:pPr>
              <w:pStyle w:val="Compact"/>
              <w:jc w:val="left"/>
            </w:pPr>
            <w:r>
              <w:t xml:space="preserve">0.008 – 0.010</w:t>
            </w:r>
          </w:p>
        </w:tc>
      </w:tr>
      <w:tr>
        <w:tc>
          <w:tcPr/>
          <w:p>
            <w:pPr>
              <w:pStyle w:val="Compact"/>
              <w:jc w:val="left"/>
            </w:pPr>
            <w:r>
              <w:t xml:space="preserve">Raw midpoint MAE</w:t>
            </w:r>
          </w:p>
        </w:tc>
        <w:tc>
          <w:tcPr/>
          <w:p>
            <w:pPr>
              <w:pStyle w:val="Compact"/>
              <w:jc w:val="right"/>
            </w:pPr>
            <w:r>
              <w:t xml:space="preserve">0.538 pp</w:t>
            </w:r>
          </w:p>
        </w:tc>
        <w:tc>
          <w:tcPr/>
          <w:p>
            <w:pPr>
              <w:pStyle w:val="Compact"/>
              <w:jc w:val="right"/>
            </w:pPr>
            <w:r>
              <w:t xml:space="preserve">0.530 – 0.542</w:t>
            </w:r>
          </w:p>
        </w:tc>
        <w:tc>
          <w:tcPr/>
          <w:p>
            <w:pPr>
              <w:pStyle w:val="Compact"/>
              <w:jc w:val="left"/>
            </w:pPr>
            <w:r>
              <w:t xml:space="preserve">0.516 – 0.550</w:t>
            </w:r>
          </w:p>
        </w:tc>
      </w:tr>
      <w:tr>
        <w:tc>
          <w:tcPr/>
          <w:p>
            <w:pPr>
              <w:pStyle w:val="Compact"/>
              <w:jc w:val="left"/>
            </w:pPr>
            <w:r>
              <w:t xml:space="preserve">Day-block null p-value (add-one)</w:t>
            </w:r>
          </w:p>
        </w:tc>
        <w:tc>
          <w:tcPr/>
          <w:p>
            <w:pPr>
              <w:pStyle w:val="Compact"/>
              <w:jc w:val="right"/>
            </w:pPr>
            <w:r>
              <w:t xml:space="preserve">0.0005</w:t>
            </w:r>
          </w:p>
        </w:tc>
        <w:tc>
          <w:tcPr/>
          <w:p>
            <w:pPr>
              <w:pStyle w:val="Compact"/>
              <w:jc w:val="right"/>
            </w:pPr>
            <w:r>
              <w:t xml:space="preserve">0.0005 – 0.0005</w:t>
            </w:r>
          </w:p>
        </w:tc>
        <w:tc>
          <w:tcPr/>
          <w:p>
            <w:pPr>
              <w:pStyle w:val="Compact"/>
              <w:jc w:val="left"/>
            </w:pPr>
            <w:r>
              <w:t xml:space="preserve">0.0005 – 0.0005</w:t>
            </w:r>
          </w:p>
        </w:tc>
      </w:tr>
    </w:tbl>
    <w:p>
      <w:pPr>
        <w:pStyle w:val="BodyText"/>
      </w:pPr>
      <w:r>
        <w:rPr>
          <w:i/>
          <w:iCs/>
        </w:rPr>
        <w:t xml:space="preserve">Note: each draw is a complete re-draw of the instrument and a complete re-run of the protocol. The development draw is excluded from this table, as the addendum requires.</w:t>
      </w:r>
    </w:p>
    <w:p>
      <w:pPr>
        <w:pStyle w:val="BodyText"/>
      </w:pPr>
      <w:r>
        <w:t xml:space="preserve">Median certified coverage is 8.2 %: a stable yield, but a low one. The day-block p-values are in Table 4; with 2000 trials the add-one estimator cannot report less than 0.0005, so the selection effect is outside the null in every draw, not known to five decimal places.</w:t>
      </w:r>
    </w:p>
    <w:bookmarkEnd w:id="52"/>
    <w:bookmarkStart w:id="53" w:name="the-declared-tally-including-the-failure"/>
    <w:p>
      <w:pPr>
        <w:pStyle w:val="Heading3"/>
      </w:pPr>
      <w:r>
        <w:t xml:space="preserve">6.6 The declared tally, including the failure</w:t>
      </w:r>
    </w:p>
    <w:p>
      <w:pPr>
        <w:pStyle w:val="FirstParagraph"/>
      </w:pPr>
      <w:r>
        <w:t xml:space="preserve">The tally (Table 5) is the output of</w:t>
      </w:r>
      <w:r>
        <w:t xml:space="preserve"> </w:t>
      </w:r>
      <w:r>
        <w:rPr>
          <w:rStyle w:val="VerbatimChar"/>
        </w:rPr>
        <w:t xml:space="preserve">verdict.py</w:t>
      </w:r>
      <w:r>
        <w:t xml:space="preserve">, which applies the rules of the addendum to the sweep outputs and to nothing else.</w:t>
      </w:r>
    </w:p>
    <w:p>
      <w:pPr>
        <w:pStyle w:val="BodyText"/>
      </w:pPr>
      <w:r>
        <w:rPr>
          <w:b/>
          <w:bCs/>
        </w:rPr>
        <w:t xml:space="preserve">Table 5. The declared rule tally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Statement</w:t>
            </w:r>
          </w:p>
        </w:tc>
        <w:tc>
          <w:tcPr/>
          <w:p>
            <w:pPr>
              <w:pStyle w:val="Compact"/>
              <w:jc w:val="left"/>
            </w:pPr>
            <w:r>
              <w:t xml:space="preserve">Outcome</w:t>
            </w:r>
          </w:p>
        </w:tc>
      </w:tr>
      <w:tr>
        <w:tc>
          <w:tcPr/>
          <w:p>
            <w:pPr>
              <w:pStyle w:val="Compact"/>
              <w:jc w:val="left"/>
            </w:pPr>
            <w:r>
              <w:t xml:space="preserve">R1</w:t>
            </w:r>
          </w:p>
        </w:tc>
        <w:tc>
          <w:tcPr/>
          <w:p>
            <w:pPr>
              <w:pStyle w:val="Compact"/>
              <w:jc w:val="left"/>
            </w:pPr>
            <w:r>
              <w:t xml:space="preserve">The abstention rule selects a set that is genuinely easier to measure, not merely smaller</w:t>
            </w:r>
          </w:p>
        </w:tc>
        <w:tc>
          <w:tcPr/>
          <w:p>
            <w:pPr>
              <w:pStyle w:val="Compact"/>
              <w:jc w:val="left"/>
            </w:pPr>
            <w:r>
              <w:t xml:space="preserve">PASS</w:t>
            </w:r>
          </w:p>
        </w:tc>
      </w:tr>
      <w:tr>
        <w:tc>
          <w:tcPr/>
          <w:p>
            <w:pPr>
              <w:pStyle w:val="Compact"/>
              <w:jc w:val="left"/>
            </w:pPr>
            <w:r>
              <w:t xml:space="preserve">R2</w:t>
            </w:r>
          </w:p>
        </w:tc>
        <w:tc>
          <w:tcPr/>
          <w:p>
            <w:pPr>
              <w:pStyle w:val="Compact"/>
              <w:jc w:val="left"/>
            </w:pPr>
            <w:r>
              <w:t xml:space="preserve">The protocol’s own-set error is lower than the raw midpoint’s</w:t>
            </w:r>
          </w:p>
        </w:tc>
        <w:tc>
          <w:tcPr/>
          <w:p>
            <w:pPr>
              <w:pStyle w:val="Compact"/>
              <w:jc w:val="left"/>
            </w:pPr>
            <w:r>
              <w:t xml:space="preserve">PASS</w:t>
            </w:r>
          </w:p>
        </w:tc>
      </w:tr>
      <w:tr>
        <w:tc>
          <w:tcPr/>
          <w:p>
            <w:pPr>
              <w:pStyle w:val="Compact"/>
              <w:jc w:val="left"/>
            </w:pPr>
            <w:r>
              <w:t xml:space="preserve">R3</w:t>
            </w:r>
          </w:p>
        </w:tc>
        <w:tc>
          <w:tcPr/>
          <w:p>
            <w:pPr>
              <w:pStyle w:val="Compact"/>
              <w:jc w:val="left"/>
            </w:pPr>
            <w:r>
              <w:t xml:space="preserve">Certification coverage does not depend on one particular synthetic market</w:t>
            </w:r>
          </w:p>
        </w:tc>
        <w:tc>
          <w:tcPr/>
          <w:p>
            <w:pPr>
              <w:pStyle w:val="Compact"/>
              <w:jc w:val="left"/>
            </w:pPr>
            <w:r>
              <w:t xml:space="preserve">FAIL</w:t>
            </w:r>
          </w:p>
        </w:tc>
      </w:tr>
      <w:tr>
        <w:tc>
          <w:tcPr/>
          <w:p>
            <w:pPr>
              <w:pStyle w:val="Compact"/>
              <w:jc w:val="left"/>
            </w:pPr>
            <w:r>
              <w:t xml:space="preserve">R4</w:t>
            </w:r>
          </w:p>
        </w:tc>
        <w:tc>
          <w:tcPr/>
          <w:p>
            <w:pPr>
              <w:pStyle w:val="Compact"/>
              <w:jc w:val="left"/>
            </w:pPr>
            <w:r>
              <w:t xml:space="preserve">Coverage is non-decreasing in the certification tolerance</w:t>
            </w:r>
          </w:p>
        </w:tc>
        <w:tc>
          <w:tcPr/>
          <w:p>
            <w:pPr>
              <w:pStyle w:val="Compact"/>
              <w:jc w:val="left"/>
            </w:pPr>
            <w:r>
              <w:t xml:space="preserve">PASS</w:t>
            </w:r>
          </w:p>
        </w:tc>
      </w:tr>
      <w:tr>
        <w:tc>
          <w:tcPr/>
          <w:p>
            <w:pPr>
              <w:pStyle w:val="Compact"/>
              <w:jc w:val="left"/>
            </w:pPr>
            <w:r>
              <w:t xml:space="preserve">R5</w:t>
            </w:r>
          </w:p>
        </w:tc>
        <w:tc>
          <w:tcPr/>
          <w:p>
            <w:pPr>
              <w:pStyle w:val="Compact"/>
              <w:jc w:val="left"/>
            </w:pPr>
            <w:r>
              <w:t xml:space="preserve">The primary and holdout periods agree</w:t>
            </w:r>
          </w:p>
        </w:tc>
        <w:tc>
          <w:tcPr/>
          <w:p>
            <w:pPr>
              <w:pStyle w:val="Compact"/>
              <w:jc w:val="left"/>
            </w:pPr>
            <w:r>
              <w:t xml:space="preserve">PASS</w:t>
            </w:r>
          </w:p>
        </w:tc>
      </w:tr>
      <w:tr>
        <w:tc>
          <w:tcPr/>
          <w:p>
            <w:pPr>
              <w:pStyle w:val="Compact"/>
              <w:jc w:val="left"/>
            </w:pPr>
            <w:r>
              <w:t xml:space="preserve">R6</w:t>
            </w:r>
          </w:p>
        </w:tc>
        <w:tc>
          <w:tcPr/>
          <w:p>
            <w:pPr>
              <w:pStyle w:val="Compact"/>
              <w:jc w:val="left"/>
            </w:pPr>
            <w:r>
              <w:t xml:space="preserve">The perturbation set does not dominate the result</w:t>
            </w:r>
          </w:p>
        </w:tc>
        <w:tc>
          <w:tcPr/>
          <w:p>
            <w:pPr>
              <w:pStyle w:val="Compact"/>
              <w:jc w:val="left"/>
            </w:pPr>
            <w:r>
              <w:t xml:space="preserve">PASS</w:t>
            </w:r>
          </w:p>
        </w:tc>
      </w:tr>
    </w:tbl>
    <w:p>
      <w:pPr>
        <w:pStyle w:val="BodyText"/>
      </w:pPr>
      <w:r>
        <w:t xml:space="preserve">R3 and R6 are computed on the development seed alone. Addendum A1.1 requires every rule to be evaluated on the 23 replication seeds and excludes the development draw from every rule, so this departs from the declaration. An exploratory check outside the tally, run after the tally and therefore post hoc, repeats both on all 23 replication seeds. R3 fails on every seed, because coarse tick, wide quotes and very wide quotes certify no pairs anywhere. R6 passes on every seed, with a worst shift of 7.9 to 10.1 percentage points against a threshold of 15. On the development seed, base certified coverage is 8.1 per cent (Table 6), so no perturbation can lower it by more than 8.1 points; the stale-timestamp perturbation does so completely. R6 can therefore fail on that seed only through a rise above about 23 per cent.</w:t>
      </w:r>
    </w:p>
    <w:p>
      <w:pPr>
        <w:pStyle w:val="BodyText"/>
      </w:pPr>
      <w:r>
        <w:rPr>
          <w:b/>
          <w:bCs/>
        </w:rPr>
        <w:t xml:space="preserve">R1 passed.</w:t>
      </w:r>
      <w:r>
        <w:t xml:space="preserve"> </w:t>
      </w:r>
      <w:r>
        <w:t xml:space="preserve">The certified set’s mean absolute error was below the</w:t>
      </w:r>
      <w:r>
        <w:t xml:space="preserve"> </w:t>
      </w:r>
      <w:r>
        <w:t xml:space="preserve">day-block null mean in 23 of</w:t>
      </w:r>
      <w:r>
        <w:t xml:space="preserve"> </w:t>
      </w:r>
      <w:r>
        <w:t xml:space="preserve">23 draws, and the day-block null p-value was below</w:t>
      </w:r>
      <w:r>
        <w:t xml:space="preserve"> </w:t>
      </w:r>
      <w:r>
        <w:t xml:space="preserve">0.05 in 23 of them; the rule required 16.</w:t>
      </w:r>
      <w:r>
        <w:t xml:space="preserve"> </w:t>
      </w:r>
      <w:r>
        <w:t xml:space="preserve">That is the substantive result: the certified set is better, not merely smaller.</w:t>
      </w:r>
      <w:r>
        <w:t xml:space="preserve"> </w:t>
      </w:r>
      <w:r>
        <w:rPr>
          <w:b/>
          <w:bCs/>
        </w:rPr>
        <w:t xml:space="preserve">R2 passed too</w:t>
      </w:r>
      <w:r>
        <w:t xml:space="preserve">, and it is the weaker, partly redundant companion: the</w:t>
      </w:r>
      <w:r>
        <w:t xml:space="preserve"> </w:t>
      </w:r>
      <w:r>
        <w:t xml:space="preserve">certified set’s own-set error was</w:t>
      </w:r>
      <w:r>
        <w:t xml:space="preserve"> </w:t>
      </w:r>
      <w:r>
        <w:t xml:space="preserve">below the raw midpoint’s in 23 of</w:t>
      </w:r>
      <w:r>
        <w:t xml:space="preserve"> </w:t>
      </w:r>
      <w:r>
        <w:t xml:space="preserve">23 draws, against a required 16.</w:t>
      </w:r>
      <w:r>
        <w:t xml:space="preserve"> </w:t>
      </w:r>
      <w:r>
        <w:rPr>
          <w:b/>
          <w:bCs/>
        </w:rPr>
        <w:t xml:space="preserve">R3 failed.</w:t>
      </w:r>
      <w:r>
        <w:t xml:space="preserve"> </w:t>
      </w:r>
      <w:r>
        <w:t xml:space="preserve">The rule required the minimum</w:t>
      </w:r>
      <w:r>
        <w:t xml:space="preserve"> </w:t>
      </w:r>
      <w:r>
        <w:t xml:space="preserve">certified coverage across the ten market specifications to be at least half</w:t>
      </w:r>
      <w:r>
        <w:t xml:space="preserve"> </w:t>
      </w:r>
      <w:r>
        <w:t xml:space="preserve">the median coverage. The observed ratio is</w:t>
      </w:r>
      <w:r>
        <w:t xml:space="preserve"> </w:t>
      </w:r>
      <w:r>
        <w:t xml:space="preserve">0.000, with a minimum coverage of</w:t>
      </w:r>
      <w:r>
        <w:t xml:space="preserve"> </w:t>
      </w:r>
      <w:r>
        <w:t xml:space="preserve">0.0 % against a median of</w:t>
      </w:r>
      <w:r>
        <w:t xml:space="preserve"> </w:t>
      </w:r>
      <w:r>
        <w:t xml:space="preserve">8.1 %.</w:t>
      </w:r>
    </w:p>
    <w:p>
      <w:pPr>
        <w:pStyle w:val="BodyText"/>
      </w:pPr>
      <w:r>
        <w:rPr>
          <w:b/>
          <w:bCs/>
        </w:rPr>
        <w:t xml:space="preserve">Table 6. Certified coverage across the market specifications, on the development seed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Specification</w:t>
            </w:r>
          </w:p>
        </w:tc>
        <w:tc>
          <w:tcPr/>
          <w:p>
            <w:pPr>
              <w:pStyle w:val="Compact"/>
              <w:jc w:val="right"/>
            </w:pPr>
            <w:r>
              <w:t xml:space="preserve">Certified coverage</w:t>
            </w:r>
          </w:p>
        </w:tc>
        <w:tc>
          <w:tcPr/>
          <w:p>
            <w:pPr>
              <w:pStyle w:val="Compact"/>
              <w:jc w:val="right"/>
            </w:pPr>
            <w:r>
              <w:t xml:space="preserve">Certified MAE (pp)</w:t>
            </w:r>
          </w:p>
        </w:tc>
        <w:tc>
          <w:tcPr/>
          <w:p>
            <w:pPr>
              <w:pStyle w:val="Compact"/>
              <w:jc w:val="right"/>
            </w:pPr>
            <w:r>
              <w:t xml:space="preserve">Raw midpoint MAE (pp)</w:t>
            </w:r>
          </w:p>
        </w:tc>
      </w:tr>
      <w:tr>
        <w:tc>
          <w:tcPr/>
          <w:p>
            <w:pPr>
              <w:pStyle w:val="Compact"/>
              <w:jc w:val="left"/>
            </w:pPr>
            <w:r>
              <w:t xml:space="preserve">base</w:t>
            </w:r>
          </w:p>
        </w:tc>
        <w:tc>
          <w:tcPr/>
          <w:p>
            <w:pPr>
              <w:pStyle w:val="Compact"/>
              <w:jc w:val="right"/>
            </w:pPr>
            <w:r>
              <w:t xml:space="preserve">8.1 %</w:t>
            </w:r>
          </w:p>
        </w:tc>
        <w:tc>
          <w:tcPr/>
          <w:p>
            <w:pPr>
              <w:pStyle w:val="Compact"/>
              <w:jc w:val="right"/>
            </w:pPr>
            <w:r>
              <w:t xml:space="preserve">0.009</w:t>
            </w:r>
          </w:p>
        </w:tc>
        <w:tc>
          <w:tcPr/>
          <w:p>
            <w:pPr>
              <w:pStyle w:val="Compact"/>
              <w:jc w:val="right"/>
            </w:pPr>
            <w:r>
              <w:t xml:space="preserve">0.532</w:t>
            </w:r>
          </w:p>
        </w:tc>
      </w:tr>
      <w:tr>
        <w:tc>
          <w:tcPr/>
          <w:p>
            <w:pPr>
              <w:pStyle w:val="Compact"/>
              <w:jc w:val="left"/>
            </w:pPr>
            <w:r>
              <w:t xml:space="preserve">low_vol</w:t>
            </w:r>
          </w:p>
        </w:tc>
        <w:tc>
          <w:tcPr/>
          <w:p>
            <w:pPr>
              <w:pStyle w:val="Compact"/>
              <w:jc w:val="right"/>
            </w:pPr>
            <w:r>
              <w:t xml:space="preserve">8.1 %</w:t>
            </w:r>
          </w:p>
        </w:tc>
        <w:tc>
          <w:tcPr/>
          <w:p>
            <w:pPr>
              <w:pStyle w:val="Compact"/>
              <w:jc w:val="right"/>
            </w:pPr>
            <w:r>
              <w:t xml:space="preserve">0.008</w:t>
            </w:r>
          </w:p>
        </w:tc>
        <w:tc>
          <w:tcPr/>
          <w:p>
            <w:pPr>
              <w:pStyle w:val="Compact"/>
              <w:jc w:val="right"/>
            </w:pPr>
            <w:r>
              <w:t xml:space="preserve">0.441</w:t>
            </w:r>
          </w:p>
        </w:tc>
      </w:tr>
      <w:tr>
        <w:tc>
          <w:tcPr/>
          <w:p>
            <w:pPr>
              <w:pStyle w:val="Compact"/>
              <w:jc w:val="left"/>
            </w:pPr>
            <w:r>
              <w:t xml:space="preserve">high_vol</w:t>
            </w:r>
          </w:p>
        </w:tc>
        <w:tc>
          <w:tcPr/>
          <w:p>
            <w:pPr>
              <w:pStyle w:val="Compact"/>
              <w:jc w:val="right"/>
            </w:pPr>
            <w:r>
              <w:t xml:space="preserve">8.1 %</w:t>
            </w:r>
          </w:p>
        </w:tc>
        <w:tc>
          <w:tcPr/>
          <w:p>
            <w:pPr>
              <w:pStyle w:val="Compact"/>
              <w:jc w:val="right"/>
            </w:pPr>
            <w:r>
              <w:t xml:space="preserve">0.009</w:t>
            </w:r>
          </w:p>
        </w:tc>
        <w:tc>
          <w:tcPr/>
          <w:p>
            <w:pPr>
              <w:pStyle w:val="Compact"/>
              <w:jc w:val="right"/>
            </w:pPr>
            <w:r>
              <w:t xml:space="preserve">0.038</w:t>
            </w:r>
          </w:p>
        </w:tc>
      </w:tr>
      <w:tr>
        <w:tc>
          <w:tcPr/>
          <w:p>
            <w:pPr>
              <w:pStyle w:val="Compact"/>
              <w:jc w:val="left"/>
            </w:pPr>
            <w:r>
              <w:t xml:space="preserve">wide_quotes</w:t>
            </w:r>
          </w:p>
        </w:tc>
        <w:tc>
          <w:tcPr/>
          <w:p>
            <w:pPr>
              <w:pStyle w:val="Compact"/>
              <w:jc w:val="right"/>
            </w:pPr>
            <w:r>
              <w:t xml:space="preserve">0.0 %</w:t>
            </w:r>
          </w:p>
        </w:tc>
        <w:tc>
          <w:tcPr/>
          <w:p>
            <w:pPr>
              <w:pStyle w:val="Compact"/>
              <w:jc w:val="right"/>
            </w:pPr>
            <w:r>
              <w:t xml:space="preserve">—</w:t>
            </w:r>
          </w:p>
        </w:tc>
        <w:tc>
          <w:tcPr/>
          <w:p>
            <w:pPr>
              <w:pStyle w:val="Compact"/>
              <w:jc w:val="right"/>
            </w:pPr>
            <w:r>
              <w:t xml:space="preserve">0.622</w:t>
            </w:r>
          </w:p>
        </w:tc>
      </w:tr>
      <w:tr>
        <w:tc>
          <w:tcPr/>
          <w:p>
            <w:pPr>
              <w:pStyle w:val="Compact"/>
              <w:jc w:val="left"/>
            </w:pPr>
            <w:r>
              <w:t xml:space="preserve">very_wide_quotes</w:t>
            </w:r>
          </w:p>
        </w:tc>
        <w:tc>
          <w:tcPr/>
          <w:p>
            <w:pPr>
              <w:pStyle w:val="Compact"/>
              <w:jc w:val="right"/>
            </w:pPr>
            <w:r>
              <w:t xml:space="preserve">0.0 %</w:t>
            </w:r>
          </w:p>
        </w:tc>
        <w:tc>
          <w:tcPr/>
          <w:p>
            <w:pPr>
              <w:pStyle w:val="Compact"/>
              <w:jc w:val="right"/>
            </w:pPr>
            <w:r>
              <w:t xml:space="preserve">—</w:t>
            </w:r>
          </w:p>
        </w:tc>
        <w:tc>
          <w:tcPr/>
          <w:p>
            <w:pPr>
              <w:pStyle w:val="Compact"/>
              <w:jc w:val="right"/>
            </w:pPr>
            <w:r>
              <w:t xml:space="preserve">0.710</w:t>
            </w:r>
          </w:p>
        </w:tc>
      </w:tr>
      <w:tr>
        <w:tc>
          <w:tcPr/>
          <w:p>
            <w:pPr>
              <w:pStyle w:val="Compact"/>
              <w:jc w:val="left"/>
            </w:pPr>
            <w:r>
              <w:t xml:space="preserve">coarse_tick</w:t>
            </w:r>
          </w:p>
        </w:tc>
        <w:tc>
          <w:tcPr/>
          <w:p>
            <w:pPr>
              <w:pStyle w:val="Compact"/>
              <w:jc w:val="right"/>
            </w:pPr>
            <w:r>
              <w:t xml:space="preserve">0.0 %</w:t>
            </w:r>
          </w:p>
        </w:tc>
        <w:tc>
          <w:tcPr/>
          <w:p>
            <w:pPr>
              <w:pStyle w:val="Compact"/>
              <w:jc w:val="right"/>
            </w:pPr>
            <w:r>
              <w:t xml:space="preserve">—</w:t>
            </w:r>
          </w:p>
        </w:tc>
        <w:tc>
          <w:tcPr/>
          <w:p>
            <w:pPr>
              <w:pStyle w:val="Compact"/>
              <w:jc w:val="right"/>
            </w:pPr>
            <w:r>
              <w:t xml:space="preserve">1.161</w:t>
            </w:r>
          </w:p>
        </w:tc>
      </w:tr>
      <w:tr>
        <w:tc>
          <w:tcPr/>
          <w:p>
            <w:pPr>
              <w:pStyle w:val="Compact"/>
              <w:jc w:val="left"/>
            </w:pPr>
            <w:r>
              <w:t xml:space="preserve">no_wide_sessions</w:t>
            </w:r>
          </w:p>
        </w:tc>
        <w:tc>
          <w:tcPr/>
          <w:p>
            <w:pPr>
              <w:pStyle w:val="Compact"/>
              <w:jc w:val="right"/>
            </w:pPr>
            <w:r>
              <w:t xml:space="preserve">9.6 %</w:t>
            </w:r>
          </w:p>
        </w:tc>
        <w:tc>
          <w:tcPr/>
          <w:p>
            <w:pPr>
              <w:pStyle w:val="Compact"/>
              <w:jc w:val="right"/>
            </w:pPr>
            <w:r>
              <w:t xml:space="preserve">0.008</w:t>
            </w:r>
          </w:p>
        </w:tc>
        <w:tc>
          <w:tcPr/>
          <w:p>
            <w:pPr>
              <w:pStyle w:val="Compact"/>
              <w:jc w:val="right"/>
            </w:pPr>
            <w:r>
              <w:t xml:space="preserve">0.512</w:t>
            </w:r>
          </w:p>
        </w:tc>
      </w:tr>
      <w:tr>
        <w:tc>
          <w:tcPr/>
          <w:p>
            <w:pPr>
              <w:pStyle w:val="Compact"/>
              <w:jc w:val="left"/>
            </w:pPr>
            <w:r>
              <w:t xml:space="preserve">wide_strike_grid</w:t>
            </w:r>
          </w:p>
        </w:tc>
        <w:tc>
          <w:tcPr/>
          <w:p>
            <w:pPr>
              <w:pStyle w:val="Compact"/>
              <w:jc w:val="right"/>
            </w:pPr>
            <w:r>
              <w:t xml:space="preserve">8.1 %</w:t>
            </w:r>
          </w:p>
        </w:tc>
        <w:tc>
          <w:tcPr/>
          <w:p>
            <w:pPr>
              <w:pStyle w:val="Compact"/>
              <w:jc w:val="right"/>
            </w:pPr>
            <w:r>
              <w:t xml:space="preserve">0.010</w:t>
            </w:r>
          </w:p>
        </w:tc>
        <w:tc>
          <w:tcPr/>
          <w:p>
            <w:pPr>
              <w:pStyle w:val="Compact"/>
              <w:jc w:val="right"/>
            </w:pPr>
            <w:r>
              <w:t xml:space="preserve">0.731</w:t>
            </w:r>
          </w:p>
        </w:tc>
      </w:tr>
      <w:tr>
        <w:tc>
          <w:tcPr/>
          <w:p>
            <w:pPr>
              <w:pStyle w:val="Compact"/>
              <w:jc w:val="left"/>
            </w:pPr>
            <w:r>
              <w:t xml:space="preserve">short_dated</w:t>
            </w:r>
          </w:p>
        </w:tc>
        <w:tc>
          <w:tcPr/>
          <w:p>
            <w:pPr>
              <w:pStyle w:val="Compact"/>
              <w:jc w:val="right"/>
            </w:pPr>
            <w:r>
              <w:t xml:space="preserve">0.0 %</w:t>
            </w:r>
          </w:p>
        </w:tc>
        <w:tc>
          <w:tcPr/>
          <w:p>
            <w:pPr>
              <w:pStyle w:val="Compact"/>
              <w:jc w:val="right"/>
            </w:pPr>
            <w:r>
              <w:t xml:space="preserve">—</w:t>
            </w:r>
          </w:p>
        </w:tc>
        <w:tc>
          <w:tcPr/>
          <w:p>
            <w:pPr>
              <w:pStyle w:val="Compact"/>
              <w:jc w:val="right"/>
            </w:pPr>
            <w:r>
              <w:t xml:space="preserve">1.771</w:t>
            </w:r>
          </w:p>
        </w:tc>
      </w:tr>
      <w:tr>
        <w:tc>
          <w:tcPr/>
          <w:p>
            <w:pPr>
              <w:pStyle w:val="Compact"/>
              <w:jc w:val="left"/>
            </w:pPr>
            <w:r>
              <w:t xml:space="preserve">long_dated</w:t>
            </w:r>
          </w:p>
        </w:tc>
        <w:tc>
          <w:tcPr/>
          <w:p>
            <w:pPr>
              <w:pStyle w:val="Compact"/>
              <w:jc w:val="right"/>
            </w:pPr>
            <w:r>
              <w:t xml:space="preserve">16.0 %</w:t>
            </w:r>
          </w:p>
        </w:tc>
        <w:tc>
          <w:tcPr/>
          <w:p>
            <w:pPr>
              <w:pStyle w:val="Compact"/>
              <w:jc w:val="right"/>
            </w:pPr>
            <w:r>
              <w:t xml:space="preserve">0.008</w:t>
            </w:r>
          </w:p>
        </w:tc>
        <w:tc>
          <w:tcPr/>
          <w:p>
            <w:pPr>
              <w:pStyle w:val="Compact"/>
              <w:jc w:val="right"/>
            </w:pPr>
            <w:r>
              <w:t xml:space="preserve">0.037</w:t>
            </w:r>
          </w:p>
        </w:tc>
      </w:tr>
    </w:tbl>
    <w:p>
      <w:pPr>
        <w:pStyle w:val="BodyText"/>
      </w:pPr>
      <w:r>
        <w:t xml:space="preserve">The pattern in Table 6 and Figure 1 is not noise. The specifications that</w:t>
      </w:r>
      <w:r>
        <w:t xml:space="preserve"> </w:t>
      </w:r>
      <w:r>
        <w:t xml:space="preserve">widen the quotes or coarsen the tick drive coverage towards zero, because</w:t>
      </w:r>
      <w:r>
        <w:t xml:space="preserve"> </w:t>
      </w:r>
      <w:r>
        <w:t xml:space="preserve">the endpoint range widens with the quote width and the resolution rule</w:t>
      </w:r>
      <w:r>
        <w:t xml:space="preserve"> </w:t>
      </w:r>
      <w:r>
        <w:t xml:space="preserve">abstains on options whose time value falls below the instrument’s scale. A</w:t>
      </w:r>
      <w:r>
        <w:t xml:space="preserve"> </w:t>
      </w:r>
      <w:r>
        <w:t xml:space="preserve">protocol whose coverage depends this strongly on microstructure has no fixed</w:t>
      </w:r>
      <w:r>
        <w:t xml:space="preserve"> </w:t>
      </w:r>
      <w:r>
        <w:t xml:space="preserve">yield: a reader who carries the development draw’s</w:t>
      </w:r>
      <w:r>
        <w:t xml:space="preserve"> </w:t>
      </w:r>
      <w:r>
        <w:t xml:space="preserve">8.1 % coverage into another market will be</w:t>
      </w:r>
      <w:r>
        <w:t xml:space="preserve"> </w:t>
      </w:r>
      <w:r>
        <w:t xml:space="preserve">wrong, possibly several-fold.</w:t>
      </w:r>
      <w:r>
        <w:t xml:space="preserve"> </w:t>
      </w:r>
      <w:r>
        <w:t xml:space="preserve">The honest reading: this is a</w:t>
      </w:r>
      <w:r>
        <w:t xml:space="preserve"> </w:t>
      </w:r>
      <w:r>
        <w:rPr>
          <w:i/>
          <w:iCs/>
        </w:rPr>
        <w:t xml:space="preserve">property of the measurement</w:t>
      </w:r>
      <w:r>
        <w:t xml:space="preserve">. A</w:t>
      </w:r>
      <w:r>
        <w:t xml:space="preserve"> </w:t>
      </w:r>
      <w:r>
        <w:t xml:space="preserve">protocol that certified everything would be certifying pairs whose CPIV is</w:t>
      </w:r>
      <w:r>
        <w:t xml:space="preserve"> </w:t>
      </w:r>
      <w:r>
        <w:t xml:space="preserve">not determined by the quotes, and one that abstained everywhere would be</w:t>
      </w:r>
      <w:r>
        <w:t xml:space="preserve"> </w:t>
      </w:r>
      <w:r>
        <w:t xml:space="preserve">useless. The protocol behaves correctly at both extremes and cannot promise a yield in advance; the R3 failure is the evidence.</w:t>
      </w:r>
      <w:r>
        <w:t xml:space="preserve"> </w:t>
      </w:r>
      <w:r>
        <w:rPr>
          <w:b/>
          <w:bCs/>
        </w:rPr>
        <w:t xml:space="preserve">R4 passed.</w:t>
      </w:r>
      <w:r>
        <w:t xml:space="preserve"> </w:t>
      </w:r>
      <w:r>
        <w:t xml:space="preserve">Coverage was monotone in the tolerance in</w:t>
      </w:r>
      <w:r>
        <w:t xml:space="preserve"> </w:t>
      </w:r>
      <w:r>
        <w:t xml:space="preserve">23 of 23 draws, against a</w:t>
      </w:r>
      <w:r>
        <w:t xml:space="preserve"> </w:t>
      </w:r>
      <w:r>
        <w:t xml:space="preserve">requirement of 22. A weak condition, but the one that would detect a coding</w:t>
      </w:r>
      <w:r>
        <w:t xml:space="preserve"> </w:t>
      </w:r>
      <w:r>
        <w:t xml:space="preserve">error in the tolerance rule.</w:t>
      </w:r>
      <w:r>
        <w:t xml:space="preserve"> </w:t>
      </w:r>
      <w:r>
        <w:rPr>
          <w:b/>
          <w:bCs/>
        </w:rPr>
        <w:t xml:space="preserve">R5 passed.</w:t>
      </w:r>
      <w:r>
        <w:t xml:space="preserve"> </w:t>
      </w:r>
      <w:r>
        <w:t xml:space="preserve">The sign of the own-set error reduction agreed between the</w:t>
      </w:r>
      <w:r>
        <w:t xml:space="preserve"> </w:t>
      </w:r>
      <w:r>
        <w:t xml:space="preserve">primary and holdout periods in 23 of</w:t>
      </w:r>
      <w:r>
        <w:t xml:space="preserve"> </w:t>
      </w:r>
      <w:r>
        <w:t xml:space="preserve">23 draws, and the two periods’ certified coverage were</w:t>
      </w:r>
      <w:r>
        <w:t xml:space="preserve"> </w:t>
      </w:r>
      <w:r>
        <w:t xml:space="preserve">within 10 percentage points in 23 of them,</w:t>
      </w:r>
      <w:r>
        <w:t xml:space="preserve"> </w:t>
      </w:r>
      <w:r>
        <w:t xml:space="preserve">against a required 16 in both cases. The period split is a weak test: the two periods share one generator.</w:t>
      </w:r>
      <w:r>
        <w:t xml:space="preserve"> </w:t>
      </w:r>
      <w:r>
        <w:rPr>
          <w:b/>
          <w:bCs/>
        </w:rPr>
        <w:t xml:space="preserve">R6 passed.</w:t>
      </w:r>
      <w:r>
        <w:t xml:space="preserve"> </w:t>
      </w:r>
      <w:r>
        <w:t xml:space="preserve">The largest absolute change in certified coverage caused by</w:t>
      </w:r>
      <w:r>
        <w:t xml:space="preserve"> </w:t>
      </w:r>
      <w:r>
        <w:t xml:space="preserve">any single perturbation was 8.1 percentage</w:t>
      </w:r>
      <w:r>
        <w:t xml:space="preserve"> </w:t>
      </w:r>
      <w:r>
        <w:t xml:space="preserve">points, against a threshold of 15. Section 6.7 discusses the perturbation</w:t>
      </w:r>
      <w:r>
        <w:t xml:space="preserve"> </w:t>
      </w:r>
      <w:r>
        <w:t xml:space="preserve">response.</w:t>
      </w:r>
    </w:p>
    <w:bookmarkEnd w:id="53"/>
    <w:bookmarkStart w:id="54" w:name="the-perturbation-response"/>
    <w:p>
      <w:pPr>
        <w:pStyle w:val="Heading3"/>
      </w:pPr>
      <w:r>
        <w:t xml:space="preserve">6.7 The perturbation response</w:t>
      </w:r>
    </w:p>
    <w:p>
      <w:pPr>
        <w:pStyle w:val="FirstParagraph"/>
      </w:pPr>
      <w:r>
        <w:rPr>
          <w:b/>
          <w:bCs/>
        </w:rPr>
        <w:t xml:space="preserve">Table 7. Perturbation response in the benchmark, development draw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Perturbation</w:t>
            </w:r>
          </w:p>
        </w:tc>
        <w:tc>
          <w:tcPr/>
          <w:p>
            <w:pPr>
              <w:pStyle w:val="Compact"/>
              <w:jc w:val="right"/>
            </w:pPr>
            <w:r>
              <w:t xml:space="preserve">Coverage change</w:t>
            </w:r>
          </w:p>
        </w:tc>
        <w:tc>
          <w:tcPr/>
          <w:p>
            <w:pPr>
              <w:pStyle w:val="Compact"/>
              <w:jc w:val="right"/>
            </w:pPr>
            <w:r>
              <w:t xml:space="preserve">MAE (pp)</w:t>
            </w:r>
          </w:p>
        </w:tc>
        <w:tc>
          <w:tcPr/>
          <w:p>
            <w:pPr>
              <w:pStyle w:val="Compact"/>
              <w:jc w:val="right"/>
            </w:pPr>
            <w:r>
              <w:t xml:space="preserve">Mean abs. CPIV change (pp)</w:t>
            </w:r>
          </w:p>
        </w:tc>
      </w:tr>
      <w:tr>
        <w:tc>
          <w:tcPr/>
          <w:p>
            <w:pPr>
              <w:pStyle w:val="Compact"/>
              <w:jc w:val="left"/>
            </w:pPr>
            <w:r>
              <w:t xml:space="preserve">Endpoint widened by half a tick</w:t>
            </w:r>
          </w:p>
        </w:tc>
        <w:tc>
          <w:tcPr/>
          <w:p>
            <w:pPr>
              <w:pStyle w:val="Compact"/>
              <w:jc w:val="right"/>
            </w:pPr>
            <w:r>
              <w:t xml:space="preserve">-7.3 pp</w:t>
            </w:r>
          </w:p>
        </w:tc>
        <w:tc>
          <w:tcPr/>
          <w:p>
            <w:pPr>
              <w:pStyle w:val="Compact"/>
              <w:jc w:val="right"/>
            </w:pPr>
            <w:r>
              <w:t xml:space="preserve">0.016</w:t>
            </w:r>
          </w:p>
        </w:tc>
        <w:tc>
          <w:tcPr/>
          <w:p>
            <w:pPr>
              <w:pStyle w:val="Compact"/>
              <w:jc w:val="right"/>
            </w:pPr>
            <w:r>
              <w:t xml:space="preserve">0.000</w:t>
            </w:r>
          </w:p>
        </w:tc>
      </w:tr>
      <w:tr>
        <w:tc>
          <w:tcPr/>
          <w:p>
            <w:pPr>
              <w:pStyle w:val="Compact"/>
              <w:jc w:val="left"/>
            </w:pPr>
            <w:r>
              <w:t xml:space="preserve">Spot +1 bp</w:t>
            </w:r>
          </w:p>
        </w:tc>
        <w:tc>
          <w:tcPr/>
          <w:p>
            <w:pPr>
              <w:pStyle w:val="Compact"/>
              <w:jc w:val="right"/>
            </w:pPr>
            <w:r>
              <w:t xml:space="preserve">0.0 pp</w:t>
            </w:r>
          </w:p>
        </w:tc>
        <w:tc>
          <w:tcPr/>
          <w:p>
            <w:pPr>
              <w:pStyle w:val="Compact"/>
              <w:jc w:val="right"/>
            </w:pPr>
            <w:r>
              <w:t xml:space="preserve">0.066</w:t>
            </w:r>
          </w:p>
        </w:tc>
        <w:tc>
          <w:tcPr/>
          <w:p>
            <w:pPr>
              <w:pStyle w:val="Compact"/>
              <w:jc w:val="right"/>
            </w:pPr>
            <w:r>
              <w:t xml:space="preserve">0.066</w:t>
            </w:r>
          </w:p>
        </w:tc>
      </w:tr>
      <w:tr>
        <w:tc>
          <w:tcPr/>
          <w:p>
            <w:pPr>
              <w:pStyle w:val="Compact"/>
              <w:jc w:val="left"/>
            </w:pPr>
            <w:r>
              <w:t xml:space="preserve">Rate +5 bp</w:t>
            </w:r>
          </w:p>
        </w:tc>
        <w:tc>
          <w:tcPr/>
          <w:p>
            <w:pPr>
              <w:pStyle w:val="Compact"/>
              <w:jc w:val="right"/>
            </w:pPr>
            <w:r>
              <w:t xml:space="preserve">0.0 pp</w:t>
            </w:r>
          </w:p>
        </w:tc>
        <w:tc>
          <w:tcPr/>
          <w:p>
            <w:pPr>
              <w:pStyle w:val="Compact"/>
              <w:jc w:val="right"/>
            </w:pPr>
            <w:r>
              <w:t xml:space="preserve">0.054</w:t>
            </w:r>
          </w:p>
        </w:tc>
        <w:tc>
          <w:tcPr/>
          <w:p>
            <w:pPr>
              <w:pStyle w:val="Compact"/>
              <w:jc w:val="right"/>
            </w:pPr>
            <w:r>
              <w:t xml:space="preserve">0.054</w:t>
            </w:r>
          </w:p>
        </w:tc>
      </w:tr>
      <w:tr>
        <w:tc>
          <w:tcPr/>
          <w:p>
            <w:pPr>
              <w:pStyle w:val="Compact"/>
              <w:jc w:val="left"/>
            </w:pPr>
            <w:r>
              <w:t xml:space="preserve">Spot timestamp −3 s</w:t>
            </w:r>
          </w:p>
        </w:tc>
        <w:tc>
          <w:tcPr/>
          <w:p>
            <w:pPr>
              <w:pStyle w:val="Compact"/>
              <w:jc w:val="right"/>
            </w:pPr>
            <w:r>
              <w:t xml:space="preserve">-8.1 pp</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Resolution scale halved</w:t>
            </w:r>
          </w:p>
        </w:tc>
        <w:tc>
          <w:tcPr/>
          <w:p>
            <w:pPr>
              <w:pStyle w:val="Compact"/>
              <w:jc w:val="right"/>
            </w:pPr>
            <w:r>
              <w:t xml:space="preserve">0.0 pp</w:t>
            </w:r>
          </w:p>
        </w:tc>
        <w:tc>
          <w:tcPr/>
          <w:p>
            <w:pPr>
              <w:pStyle w:val="Compact"/>
              <w:jc w:val="right"/>
            </w:pPr>
            <w:r>
              <w:t xml:space="preserve">0.009</w:t>
            </w:r>
          </w:p>
        </w:tc>
        <w:tc>
          <w:tcPr/>
          <w:p>
            <w:pPr>
              <w:pStyle w:val="Compact"/>
              <w:jc w:val="right"/>
            </w:pPr>
            <w:r>
              <w:t xml:space="preserve">0.000</w:t>
            </w:r>
          </w:p>
        </w:tc>
      </w:tr>
      <w:tr>
        <w:tc>
          <w:tcPr/>
          <w:p>
            <w:pPr>
              <w:pStyle w:val="Compact"/>
              <w:jc w:val="left"/>
            </w:pPr>
            <w:r>
              <w:t xml:space="preserve">Synchronization tolerance relaxed to 5 s</w:t>
            </w:r>
          </w:p>
        </w:tc>
        <w:tc>
          <w:tcPr/>
          <w:p>
            <w:pPr>
              <w:pStyle w:val="Compact"/>
              <w:jc w:val="right"/>
            </w:pPr>
            <w:r>
              <w:t xml:space="preserve">0.0 pp</w:t>
            </w:r>
          </w:p>
        </w:tc>
        <w:tc>
          <w:tcPr/>
          <w:p>
            <w:pPr>
              <w:pStyle w:val="Compact"/>
              <w:jc w:val="right"/>
            </w:pPr>
            <w:r>
              <w:t xml:space="preserve">0.009</w:t>
            </w:r>
          </w:p>
        </w:tc>
        <w:tc>
          <w:tcPr/>
          <w:p>
            <w:pPr>
              <w:pStyle w:val="Compact"/>
              <w:jc w:val="right"/>
            </w:pPr>
            <w:r>
              <w:t xml:space="preserve">0.000</w:t>
            </w:r>
          </w:p>
        </w:tc>
      </w:tr>
    </w:tbl>
    <w:p>
      <w:pPr>
        <w:pStyle w:val="BodyText"/>
      </w:pPr>
      <w:r>
        <w:t xml:space="preserve">The perturbations fall into three groups.</w:t>
      </w:r>
      <w:r>
        <w:t xml:space="preserve"> </w:t>
      </w:r>
      <w:r>
        <w:t xml:space="preserve">The</w:t>
      </w:r>
      <w:r>
        <w:t xml:space="preserve"> </w:t>
      </w:r>
      <w:r>
        <w:rPr>
          <w:b/>
          <w:bCs/>
        </w:rPr>
        <w:t xml:space="preserve">timing</w:t>
      </w:r>
      <w:r>
        <w:t xml:space="preserve"> </w:t>
      </w:r>
      <w:r>
        <w:t xml:space="preserve">perturbation is the largest in coverage terms. Moving the</w:t>
      </w:r>
      <w:r>
        <w:t xml:space="preserve"> </w:t>
      </w:r>
      <w:r>
        <w:t xml:space="preserve">spot’s timestamp three seconds behind the quote timestamps exceeds the</w:t>
      </w:r>
      <w:r>
        <w:t xml:space="preserve"> </w:t>
      </w:r>
      <w:r>
        <w:t xml:space="preserve">synchronization tolerance, certified coverage falls to zero, and the</w:t>
      </w:r>
      <w:r>
        <w:t xml:space="preserve"> </w:t>
      </w:r>
      <w:r>
        <w:t xml:space="preserve">protocol reports no measurement at all. This is correct behavior and worth</w:t>
      </w:r>
      <w:r>
        <w:t xml:space="preserve"> </w:t>
      </w:r>
      <w:r>
        <w:t xml:space="preserve">pausing on: a stale underlying price, a completely routine feed condition,</w:t>
      </w:r>
      <w:r>
        <w:t xml:space="preserve"> </w:t>
      </w:r>
      <w:r>
        <w:t xml:space="preserve">does not merely add noise to a CPIV, it destroys the measurement. A pipeline</w:t>
      </w:r>
      <w:r>
        <w:t xml:space="preserve"> </w:t>
      </w:r>
      <w:r>
        <w:t xml:space="preserve">that does not check timestamps will still report numbers. The quote-side widening,</w:t>
      </w:r>
      <w:r>
        <w:t xml:space="preserve"> </w:t>
      </w:r>
      <w:r>
        <w:t xml:space="preserve">every quote by half a tick, does comparable but smaller damage: certified coverage</w:t>
      </w:r>
      <w:r>
        <w:t xml:space="preserve"> </w:t>
      </w:r>
      <w:r>
        <w:t xml:space="preserve">moves by 7.3</w:t>
      </w:r>
      <w:r>
        <w:t xml:space="preserve"> </w:t>
      </w:r>
      <w:r>
        <w:t xml:space="preserve">percentage points, because the endpoint range widens and the tolerance rule</w:t>
      </w:r>
      <w:r>
        <w:t xml:space="preserve"> </w:t>
      </w:r>
      <w:r>
        <w:t xml:space="preserve">tightens.</w:t>
      </w:r>
      <w:r>
        <w:t xml:space="preserve"> </w:t>
      </w:r>
      <w:r>
        <w:t xml:space="preserve">The</w:t>
      </w:r>
      <w:r>
        <w:t xml:space="preserve"> </w:t>
      </w:r>
      <w:r>
        <w:rPr>
          <w:b/>
          <w:bCs/>
        </w:rPr>
        <w:t xml:space="preserve">model-input</w:t>
      </w:r>
      <w:r>
        <w:t xml:space="preserve"> </w:t>
      </w:r>
      <w:r>
        <w:t xml:space="preserve">perturbations, a one-basis-point spot shift and a</w:t>
      </w:r>
      <w:r>
        <w:t xml:space="preserve"> </w:t>
      </w:r>
      <w:r>
        <w:t xml:space="preserve">five-basis-point rate shift, leave the coverage untouched but move the CPIV</w:t>
      </w:r>
      <w:r>
        <w:t xml:space="preserve"> </w:t>
      </w:r>
      <w:r>
        <w:t xml:space="preserve">values: the mean absolute change is</w:t>
      </w:r>
      <w:r>
        <w:t xml:space="preserve"> </w:t>
      </w:r>
      <w:r>
        <w:t xml:space="preserve">0.066 and</w:t>
      </w:r>
      <w:r>
        <w:t xml:space="preserve"> </w:t>
      </w:r>
      <w:r>
        <w:t xml:space="preserve">0.054 percentage points</w:t>
      </w:r>
      <w:r>
        <w:t xml:space="preserve"> </w:t>
      </w:r>
      <w:r>
        <w:t xml:space="preserve">respectively — 8 and</w:t>
      </w:r>
      <w:r>
        <w:t xml:space="preserve"> </w:t>
      </w:r>
      <w:r>
        <w:t xml:space="preserve">6 times the</w:t>
      </w:r>
      <w:r>
        <w:t xml:space="preserve"> </w:t>
      </w:r>
      <w:r>
        <w:t xml:space="preserve">certified subset’s own error of</w:t>
      </w:r>
      <w:r>
        <w:t xml:space="preserve"> </w:t>
      </w:r>
      <w:r>
        <w:t xml:space="preserve">0.009. This is an important and</w:t>
      </w:r>
      <w:r>
        <w:t xml:space="preserve"> </w:t>
      </w:r>
      <w:r>
        <w:t xml:space="preserve">slightly uncomfortable finding: the protocol certifies a pair as determined</w:t>
      </w:r>
      <w:r>
        <w:t xml:space="preserve"> </w:t>
      </w:r>
      <w:r>
        <w:t xml:space="preserve">with respect to the</w:t>
      </w:r>
      <w:r>
        <w:t xml:space="preserve"> </w:t>
      </w:r>
      <w:r>
        <w:rPr>
          <w:i/>
          <w:iCs/>
        </w:rPr>
        <w:t xml:space="preserve">quote</w:t>
      </w:r>
      <w:r>
        <w:t xml:space="preserve"> </w:t>
      </w:r>
      <w:r>
        <w:t xml:space="preserve">uncertainty and is silent about the</w:t>
      </w:r>
      <w:r>
        <w:t xml:space="preserve"> </w:t>
      </w:r>
      <w:r>
        <w:rPr>
          <w:i/>
          <w:iCs/>
        </w:rPr>
        <w:t xml:space="preserve">model-input</w:t>
      </w:r>
      <w:r>
        <w:t xml:space="preserve"> </w:t>
      </w:r>
      <w:r>
        <w:t xml:space="preserve">uncertainty, which in these units is larger. The</w:t>
      </w:r>
      <w:r>
        <w:t xml:space="preserve"> </w:t>
      </w:r>
      <w:r>
        <w:rPr>
          <w:b/>
          <w:bCs/>
        </w:rPr>
        <w:t xml:space="preserve">protocol-setting</w:t>
      </w:r>
      <w:r>
        <w:t xml:space="preserve"> </w:t>
      </w:r>
      <w:r>
        <w:t xml:space="preserve">perturbations, by contrast, change nothing here: the</w:t>
      </w:r>
      <w:r>
        <w:t xml:space="preserve"> </w:t>
      </w:r>
      <w:r>
        <w:t xml:space="preserve">resolution scale is not binding at the base market’s microstructure,</w:t>
      </w:r>
      <w:r>
        <w:t xml:space="preserve"> </w:t>
      </w:r>
      <w:r>
        <w:t xml:space="preserve">consistent with the endpoint stage, not the time-value stage, being where</w:t>
      </w:r>
      <w:r>
        <w:t xml:space="preserve"> </w:t>
      </w:r>
      <w:r>
        <w:t xml:space="preserve">pairs are lost.</w:t>
      </w:r>
    </w:p>
    <w:bookmarkEnd w:id="54"/>
    <w:bookmarkStart w:id="55" w:name="strata"/>
    <w:p>
      <w:pPr>
        <w:pStyle w:val="Heading3"/>
      </w:pPr>
      <w:r>
        <w:t xml:space="preserve">6.8 Strata</w:t>
      </w:r>
    </w:p>
    <w:p>
      <w:pPr>
        <w:pStyle w:val="FirstParagraph"/>
      </w:pPr>
      <w:r>
        <w:t xml:space="preserve">Certification is not spread uniformly across the contract space. In the</w:t>
      </w:r>
      <w:r>
        <w:t xml:space="preserve"> </w:t>
      </w:r>
      <w:r>
        <w:t xml:space="preserve">development draw it is confined to the 60-day maturity, to pairs quoted at a</w:t>
      </w:r>
      <w:r>
        <w:t xml:space="preserve"> </w:t>
      </w:r>
      <w:r>
        <w:t xml:space="preserve">single-tick half-spread, and to the three central strikes; it is zero in</w:t>
      </w:r>
      <w:r>
        <w:t xml:space="preserve"> </w:t>
      </w:r>
      <w:r>
        <w:t xml:space="preserve">every wing bucket, at 14 and 30 days, at half-spreads of two ticks or more,</w:t>
      </w:r>
      <w:r>
        <w:t xml:space="preserve"> </w:t>
      </w:r>
      <w:r>
        <w:t xml:space="preserve">and among true spreads below 0.1 percentage points. Table S1 in the</w:t>
      </w:r>
      <w:r>
        <w:t xml:space="preserve"> </w:t>
      </w:r>
      <w:r>
        <w:t xml:space="preserve">supplementary material gives the full cross-tabulation.</w:t>
      </w:r>
      <w:r>
        <w:t xml:space="preserve"> </w:t>
      </w:r>
      <w:r>
        <w:t xml:space="preserve">The strata are also the result most likely to be over-read. They are</w:t>
      </w:r>
      <w:r>
        <w:t xml:space="preserve"> </w:t>
      </w:r>
      <w:r>
        <w:t xml:space="preserve">computed</w:t>
      </w:r>
      <w:r>
        <w:t xml:space="preserve"> </w:t>
      </w:r>
      <w:r>
        <w:rPr>
          <w:i/>
          <w:iCs/>
        </w:rPr>
        <w:t xml:space="preserve">in the benchmark</w:t>
      </w:r>
      <w:r>
        <w:t xml:space="preserve">, against a truth defined by the benchmark’s</w:t>
      </w:r>
      <w:r>
        <w:t xml:space="preserve"> </w:t>
      </w:r>
      <w:r>
        <w:t xml:space="preserve">model. A certified set concentrated near the money is evidence that the</w:t>
      </w:r>
      <w:r>
        <w:t xml:space="preserve"> </w:t>
      </w:r>
      <w:r>
        <w:t xml:space="preserve">protocol’s criteria behave as intended; it is not evidence about where</w:t>
      </w:r>
      <w:r>
        <w:t xml:space="preserve"> </w:t>
      </w:r>
      <w:r>
        <w:t xml:space="preserve">certification would concentrate in a real market, which depends on that</w:t>
      </w:r>
      <w:r>
        <w:t xml:space="preserve"> </w:t>
      </w:r>
      <w:r>
        <w:t xml:space="preserve">market’s own smile, spreads and liquidity calendar.</w:t>
      </w:r>
    </w:p>
    <w:bookmarkEnd w:id="55"/>
    <w:bookmarkStart w:id="56" w:name="X095d6a0de08c3d0bcff221c5acd8829f32c41cf"/>
    <w:p>
      <w:pPr>
        <w:pStyle w:val="Heading3"/>
      </w:pPr>
      <w:r>
        <w:t xml:space="preserve">6.9 The secondary outcome: what abstention costs a surface calibration</w:t>
      </w:r>
    </w:p>
    <w:p>
      <w:pPr>
        <w:pStyle w:val="FirstParagraph"/>
      </w:pPr>
      <w:r>
        <w:t xml:space="preserve">Of the 889 pairs scored in the development draw, only the 60-day expiry slice supports a surface fit for both input sets. There the raw-midpoint input set contains</w:t>
      </w:r>
      <w:r>
        <w:t xml:space="preserve"> </w:t>
      </w:r>
      <w:r>
        <w:t xml:space="preserve">296 contracts and the protocol’s input set contains</w:t>
      </w:r>
      <w:r>
        <w:t xml:space="preserve"> </w:t>
      </w:r>
      <w:r>
        <w:t xml:space="preserve">72, so the calibration retains</w:t>
      </w:r>
      <w:r>
        <w:t xml:space="preserve"> </w:t>
      </w:r>
      <w:r>
        <w:t xml:space="preserve">24.3 % of the raw set and forgoes</w:t>
      </w:r>
      <w:r>
        <w:t xml:space="preserve"> </w:t>
      </w:r>
      <w:r>
        <w:t xml:space="preserve">224 contracts. Fitting a quadratic in</w:t>
      </w:r>
      <w:r>
        <w:t xml:space="preserve"> </w:t>
      </w:r>
      <w:r>
        <w:t xml:space="preserve">log-moneyness per expiry slice, the two surfaces differ by at most</w:t>
      </w:r>
      <w:r>
        <w:t xml:space="preserve"> </w:t>
      </w:r>
      <w:r>
        <w:t xml:space="preserve">2.227 percentage points of CPIV, more than two</w:t>
      </w:r>
      <w:r>
        <w:t xml:space="preserve"> </w:t>
      </w:r>
      <w:r>
        <w:t xml:space="preserve">orders of magnitude larger than the certified subset’s own measurement</w:t>
      </w:r>
      <w:r>
        <w:t xml:space="preserve"> </w:t>
      </w:r>
      <w:r>
        <w:t xml:space="preserve">error of 0.009. The comparison is</w:t>
      </w:r>
      <w:r>
        <w:t xml:space="preserve"> </w:t>
      </w:r>
      <w:r>
        <w:t xml:space="preserve">descriptive: neither surface is claimed to be better specified or more profitable.</w:t>
      </w:r>
      <w:r>
        <w:t xml:space="preserve"> </w:t>
      </w:r>
      <w:r>
        <w:t xml:space="preserve">Abstaining on 75.7 % of the contracts moves the</w:t>
      </w:r>
      <w:r>
        <w:t xml:space="preserve"> </w:t>
      </w:r>
      <w:r>
        <w:t xml:space="preserve">fitted surface by more than the measurement error of either set, and a</w:t>
      </w:r>
      <w:r>
        <w:t xml:space="preserve"> </w:t>
      </w:r>
      <w:r>
        <w:t xml:space="preserve">practitioner who silently substituted one for the other would not know it.</w:t>
      </w:r>
      <w:r>
        <w:t xml:space="preserve"> </w:t>
      </w:r>
      <w:r>
        <w:t xml:space="preserve">Abstention is not free in calibration, where the unit is a set; for one pair</w:t>
      </w:r>
      <w:r>
        <w:t xml:space="preserve"> </w:t>
      </w:r>
      <w:r>
        <w:t xml:space="preserve">the calculus reverses (Section 6.2).</w:t>
      </w:r>
    </w:p>
    <w:bookmarkEnd w:id="56"/>
    <w:bookmarkStart w:id="57" w:name="X64bf0d30d14a2b90aa6472fe660fd71b83e89cb"/>
    <w:p>
      <w:pPr>
        <w:pStyle w:val="Heading3"/>
      </w:pPr>
      <w:r>
        <w:t xml:space="preserve">6.10 Exploratory ablation of the time-value and finite-shock refusals</w:t>
      </w:r>
    </w:p>
    <w:p>
      <w:pPr>
        <w:pStyle w:val="FirstParagraph"/>
      </w:pPr>
      <w:r>
        <w:t xml:space="preserve">This ablation is exploratory and was not in the addendum. It reruns the declared</w:t>
      </w:r>
      <w:r>
        <w:t xml:space="preserve"> </w:t>
      </w:r>
      <w:r>
        <w:t xml:space="preserve">protocol on the same synthetic pairs and settings, with the time-value and</w:t>
      </w:r>
      <w:r>
        <w:t xml:space="preserve"> </w:t>
      </w:r>
      <w:r>
        <w:t xml:space="preserve">finite-shock refusals removed one at a time and then together. The interval-only</w:t>
      </w:r>
      <w:r>
        <w:t xml:space="preserve"> </w:t>
      </w:r>
      <w:r>
        <w:t xml:space="preserve">variant keeps the endpoint tolerance test, so it is an analogue of an</w:t>
      </w:r>
      <w:r>
        <w:t xml:space="preserve"> </w:t>
      </w:r>
      <w:r>
        <w:t xml:space="preserve">interval-only rule, not the same rule.</w:t>
      </w:r>
      <w:r>
        <w:t xml:space="preserve"> </w:t>
      </w:r>
      <w:r>
        <w:t xml:space="preserve">Of the 894 attempted pairs, the protocol refused</w:t>
      </w:r>
      <w:r>
        <w:t xml:space="preserve"> </w:t>
      </w:r>
      <w:r>
        <w:t xml:space="preserve">0 at the time-value stage and</w:t>
      </w:r>
      <w:r>
        <w:t xml:space="preserve"> </w:t>
      </w:r>
      <w:r>
        <w:t xml:space="preserve">0 at the finite-shock stage. Every variant</w:t>
      </w:r>
      <w:r>
        <w:t xml:space="preserve"> </w:t>
      </w:r>
      <w:r>
        <w:t xml:space="preserve">certifies the same 72 pairs,</w:t>
      </w:r>
      <w:r>
        <w:t xml:space="preserve"> </w:t>
      </w:r>
      <w:r>
        <w:t xml:space="preserve">8.1 % of the attempted set, with a mean absolute</w:t>
      </w:r>
      <w:r>
        <w:t xml:space="preserve"> </w:t>
      </w:r>
      <w:r>
        <w:t xml:space="preserve">error of 0.009 percentage points. In this run</w:t>
      </w:r>
      <w:r>
        <w:t xml:space="preserve"> </w:t>
      </w:r>
      <w:r>
        <w:t xml:space="preserve">no skip admits a pair that the full protocol declines.</w:t>
      </w:r>
      <w:r>
        <w:t xml:space="preserve"> </w:t>
      </w:r>
      <w:r>
        <w:t xml:space="preserve">Neither refusal binds on this benchmark. The result is a structural check, not</w:t>
      </w:r>
      <w:r>
        <w:t xml:space="preserve"> </w:t>
      </w:r>
      <w:r>
        <w:t xml:space="preserve">evidence that the refusals are unnecessary in a market, where thin wings and</w:t>
      </w:r>
      <w:r>
        <w:t xml:space="preserve"> </w:t>
      </w:r>
      <w:r>
        <w:t xml:space="preserve">wide spreads may make them bind.</w:t>
      </w:r>
    </w:p>
    <w:bookmarkEnd w:id="57"/>
    <w:bookmarkEnd w:id="58"/>
    <w:bookmarkStart w:id="63" w:name="discussion"/>
    <w:p>
      <w:pPr>
        <w:pStyle w:val="Heading2"/>
      </w:pPr>
      <w:r>
        <w:t xml:space="preserve">7. Discussion</w:t>
      </w:r>
    </w:p>
    <w:bookmarkStart w:id="59" w:name="what-the-benchmark-establishes"/>
    <w:p>
      <w:pPr>
        <w:pStyle w:val="Heading3"/>
      </w:pPr>
      <w:r>
        <w:t xml:space="preserve">7.1 What the benchmark establishes</w:t>
      </w:r>
    </w:p>
    <w:p>
      <w:pPr>
        <w:pStyle w:val="FirstParagraph"/>
      </w:pPr>
      <w:r>
        <w:t xml:space="preserve">Three things are established in the benchmark, and a fourth is not.</w:t>
      </w:r>
      <w:r>
        <w:t xml:space="preserve"> </w:t>
      </w:r>
      <w:r>
        <w:rPr>
          <w:b/>
          <w:bCs/>
        </w:rPr>
        <w:t xml:space="preserve">The abstention rule selects a set that is genuinely easier to measure.</w:t>
      </w:r>
      <w:r>
        <w:t xml:space="preserve"> </w:t>
      </w:r>
      <w:r>
        <w:t xml:space="preserve">This is R1, and it passed in 23 of</w:t>
      </w:r>
      <w:r>
        <w:t xml:space="preserve"> </w:t>
      </w:r>
      <w:r>
        <w:t xml:space="preserve">23 replication draws against the conservative null:</w:t>
      </w:r>
      <w:r>
        <w:t xml:space="preserve"> </w:t>
      </w:r>
      <w:r>
        <w:t xml:space="preserve">the certified pairs have a lower mean absolute error than a size-matched</w:t>
      </w:r>
      <w:r>
        <w:t xml:space="preserve"> </w:t>
      </w:r>
      <w:r>
        <w:t xml:space="preserve">random subset of the same scored universe, even when that subset preserves</w:t>
      </w:r>
      <w:r>
        <w:t xml:space="preserve"> </w:t>
      </w:r>
      <w:r>
        <w:t xml:space="preserve">the within-day dependence of the quotes. The rule is not selecting fewer</w:t>
      </w:r>
      <w:r>
        <w:t xml:space="preserve"> </w:t>
      </w:r>
      <w:r>
        <w:t xml:space="preserve">pairs, and it is not selecting a lucky day.</w:t>
      </w:r>
      <w:r>
        <w:t xml:space="preserve"> </w:t>
      </w:r>
      <w:r>
        <w:rPr>
          <w:b/>
          <w:bCs/>
        </w:rPr>
        <w:t xml:space="preserve">The protocol’s own-set advantage is a selection effect, and the paper says</w:t>
      </w:r>
      <w:r>
        <w:rPr>
          <w:b/>
          <w:bCs/>
        </w:rPr>
        <w:t xml:space="preserve"> </w:t>
      </w:r>
      <w:r>
        <w:rPr>
          <w:b/>
          <w:bCs/>
        </w:rPr>
        <w:t xml:space="preserve">so.</w:t>
      </w:r>
      <w:r>
        <w:t xml:space="preserve"> </w:t>
      </w:r>
      <w:r>
        <w:t xml:space="preserve">The common-set identity is reported as exactly zero rather than as a</w:t>
      </w:r>
      <w:r>
        <w:t xml:space="preserve"> </w:t>
      </w:r>
      <w:r>
        <w:t xml:space="preserve">small number, and the frontier p-values sit beside every own-set comparison.</w:t>
      </w:r>
      <w:r>
        <w:t xml:space="preserve"> </w:t>
      </w:r>
      <w:r>
        <w:t xml:space="preserve">Distinguishing a better method from a better-selected sample is what keeps</w:t>
      </w:r>
      <w:r>
        <w:t xml:space="preserve"> </w:t>
      </w:r>
      <w:r>
        <w:t xml:space="preserve">the result reproducible.</w:t>
      </w:r>
      <w:r>
        <w:t xml:space="preserve"> </w:t>
      </w:r>
      <w:r>
        <w:rPr>
          <w:b/>
          <w:bCs/>
        </w:rPr>
        <w:t xml:space="preserve">The thresholds can be fixed before any market data is read.</w:t>
      </w:r>
      <w:r>
        <w:t xml:space="preserve"> </w:t>
      </w:r>
      <w:r>
        <w:t xml:space="preserve">The addendum,</w:t>
      </w:r>
      <w:r>
        <w:t xml:space="preserve"> </w:t>
      </w:r>
      <w:r>
        <w:t xml:space="preserve">dated 22 October 2026, the same day as the sweep manifest, fixes the generator, the settings, the seeds, the specifications, the nulls and the rules; Section 5.1 gives the provenance.</w:t>
      </w:r>
      <w:r>
        <w:t xml:space="preserve"> </w:t>
      </w:r>
      <w:r>
        <w:rPr>
          <w:b/>
          <w:bCs/>
        </w:rPr>
        <w:t xml:space="preserve">What is not established is any market claim.</w:t>
      </w:r>
      <w:r>
        <w:t xml:space="preserve"> </w:t>
      </w:r>
      <w:r>
        <w:t xml:space="preserve">The benchmark contains no</w:t>
      </w:r>
      <w:r>
        <w:t xml:space="preserve"> </w:t>
      </w:r>
      <w:r>
        <w:t xml:space="preserve">market data and supports no statement about any real security, index or</w:t>
      </w:r>
      <w:r>
        <w:t xml:space="preserve"> </w:t>
      </w:r>
      <w:r>
        <w:t xml:space="preserve">option.</w:t>
      </w:r>
    </w:p>
    <w:bookmarkEnd w:id="59"/>
    <w:bookmarkStart w:id="60" w:name="the-non-claims"/>
    <w:p>
      <w:pPr>
        <w:pStyle w:val="Heading3"/>
      </w:pPr>
      <w:r>
        <w:t xml:space="preserve">7.2 The non-claims</w:t>
      </w:r>
    </w:p>
    <w:p>
      <w:pPr>
        <w:pStyle w:val="FirstParagraph"/>
      </w:pPr>
      <w:r>
        <w:t xml:space="preserve">The following claims are excluded by the design and bind every part of this</w:t>
      </w:r>
      <w:r>
        <w:t xml:space="preserve"> </w:t>
      </w:r>
      <w:r>
        <w:t xml:space="preserve">paper, including the abstract and the conclusion: any estimate of coverage,</w:t>
      </w:r>
      <w:r>
        <w:t xml:space="preserve"> </w:t>
      </w:r>
      <w:r>
        <w:t xml:space="preserve">error or stability in a real market; any statement about a real security,</w:t>
      </w:r>
      <w:r>
        <w:t xml:space="preserve"> </w:t>
      </w:r>
      <w:r>
        <w:t xml:space="preserve">index or option; any claim of trading profitability, alpha or forecasting</w:t>
      </w:r>
      <w:r>
        <w:t xml:space="preserve"> </w:t>
      </w:r>
      <w:r>
        <w:t xml:space="preserve">value; any claim that the certification tolerance is universal or optimal;</w:t>
      </w:r>
      <w:r>
        <w:t xml:space="preserve"> </w:t>
      </w:r>
      <w:r>
        <w:t xml:space="preserve">and any external-validity claim from the synthetic market to real quotes.</w:t>
      </w:r>
      <w:r>
        <w:t xml:space="preserve"> </w:t>
      </w:r>
      <w:r>
        <w:t xml:space="preserve">Wherever a number appears in this paper, it is a number</w:t>
      </w:r>
      <w:r>
        <w:t xml:space="preserve"> </w:t>
      </w:r>
      <w:r>
        <w:rPr>
          <w:i/>
          <w:iCs/>
        </w:rPr>
        <w:t xml:space="preserve">in the benchmark</w:t>
      </w:r>
      <w:r>
        <w:t xml:space="preserve">.</w:t>
      </w:r>
      <w:r>
        <w:t xml:space="preserve"> </w:t>
      </w:r>
      <w:r>
        <w:t xml:space="preserve">The benchmark’s truth is known, which makes accuracy measurable in a way that</w:t>
      </w:r>
      <w:r>
        <w:t xml:space="preserve"> </w:t>
      </w:r>
      <w:r>
        <w:t xml:space="preserve">no real market permits. A protocol validated on accuracy and</w:t>
      </w:r>
      <w:r>
        <w:t xml:space="preserve"> </w:t>
      </w:r>
      <w:r>
        <w:t xml:space="preserve">then applied to a market where accuracy is unobservable has inherited its</w:t>
      </w:r>
      <w:r>
        <w:t xml:space="preserve"> </w:t>
      </w:r>
      <w:r>
        <w:t xml:space="preserve">thresholds but none of its evidence about them.</w:t>
      </w:r>
    </w:p>
    <w:bookmarkEnd w:id="60"/>
    <w:bookmarkStart w:id="61" w:name="threats-to-validity"/>
    <w:p>
      <w:pPr>
        <w:pStyle w:val="Heading3"/>
      </w:pPr>
      <w:r>
        <w:t xml:space="preserve">7.3 Threats to validity</w:t>
      </w:r>
    </w:p>
    <w:p>
      <w:pPr>
        <w:pStyle w:val="FirstParagraph"/>
      </w:pPr>
      <w:r>
        <w:rPr>
          <w:b/>
          <w:bCs/>
        </w:rPr>
        <w:t xml:space="preserve">The truth is a model artifact, and the European map is an approximation</w:t>
      </w:r>
      <w:r>
        <w:rPr>
          <w:b/>
          <w:bCs/>
        </w:rPr>
        <w:t xml:space="preserve"> </w:t>
      </w:r>
      <w:r>
        <w:rPr>
          <w:b/>
          <w:bCs/>
        </w:rPr>
        <w:t xml:space="preserve">for American options.</w:t>
      </w:r>
      <w:r>
        <w:t xml:space="preserve"> </w:t>
      </w:r>
      <w:r>
        <w:t xml:space="preserve">The benchmark’s put leg is American and is inverted</w:t>
      </w:r>
      <w:r>
        <w:t xml:space="preserve"> </w:t>
      </w:r>
      <w:r>
        <w:t xml:space="preserve">under a European map, and the protocol recovers the truth anyway — but the</w:t>
      </w:r>
      <w:r>
        <w:t xml:space="preserve"> </w:t>
      </w:r>
      <w:r>
        <w:t xml:space="preserve">cancellation that makes this work depends on the exercise premium being a</w:t>
      </w:r>
      <w:r>
        <w:t xml:space="preserve"> </w:t>
      </w:r>
      <w:r>
        <w:t xml:space="preserve">smooth function of the contract’s parameters. A market in which early</w:t>
      </w:r>
      <w:r>
        <w:t xml:space="preserve"> </w:t>
      </w:r>
      <w:r>
        <w:t xml:space="preserve">exercise is discontinuous in the strike would break that, and a future market study may present departures the benchmark does not.</w:t>
      </w:r>
      <w:r>
        <w:t xml:space="preserve"> </w:t>
      </w:r>
      <w:r>
        <w:rPr>
          <w:b/>
          <w:bCs/>
        </w:rPr>
        <w:t xml:space="preserve">The instrument’s microstructure was chosen.</w:t>
      </w:r>
      <w:r>
        <w:t xml:space="preserve"> </w:t>
      </w:r>
      <w:r>
        <w:t xml:space="preserve">The R3 failure reflects</w:t>
      </w:r>
      <w:r>
        <w:t xml:space="preserve"> </w:t>
      </w:r>
      <w:r>
        <w:t xml:space="preserve">coverage’s sensitivity to microstructure, shown on specifications of</w:t>
      </w:r>
      <w:r>
        <w:t xml:space="preserve"> </w:t>
      </w:r>
      <w:r>
        <w:rPr>
          <w:i/>
          <w:iCs/>
        </w:rPr>
        <w:t xml:space="preserve">this</w:t>
      </w:r>
      <w:r>
        <w:t xml:space="preserve"> </w:t>
      </w:r>
      <w:r>
        <w:t xml:space="preserve">instrument. The qualitative finding, that coverage is a property of the</w:t>
      </w:r>
      <w:r>
        <w:t xml:space="preserve"> </w:t>
      </w:r>
      <w:r>
        <w:t xml:space="preserve">market rather than the protocol, is robust; the numbers in Table 6 are not.</w:t>
      </w:r>
      <w:r>
        <w:t xml:space="preserve"> </w:t>
      </w:r>
      <w:r>
        <w:rPr>
          <w:b/>
          <w:bCs/>
        </w:rPr>
        <w:t xml:space="preserve">The inference is on one instrument with two underlyings.</w:t>
      </w:r>
      <w:r>
        <w:t xml:space="preserve"> </w:t>
      </w:r>
      <w:r>
        <w:t xml:space="preserve">The</w:t>
      </w:r>
      <w:r>
        <w:t xml:space="preserve"> </w:t>
      </w:r>
      <w:r>
        <w:t xml:space="preserve">underlying-day block bootstrap treats the underlying-day as the unit, and</w:t>
      </w:r>
      <w:r>
        <w:t xml:space="preserve"> </w:t>
      </w:r>
      <w:r>
        <w:t xml:space="preserve">there are 60 such blocks in the development draw. The block is the underlying-day by design, not a</w:t>
      </w:r>
      <w:r>
        <w:t xml:space="preserve"> </w:t>
      </w:r>
      <w:r>
        <w:t xml:space="preserve">data-selected length (Politis &amp; White, 2004).</w:t>
      </w:r>
      <w:r>
        <w:t xml:space="preserve"> </w:t>
      </w:r>
      <w:r>
        <w:t xml:space="preserve">The replication across seeds is the paper’s defense against the precision</w:t>
      </w:r>
      <w:r>
        <w:t xml:space="preserve"> </w:t>
      </w:r>
      <w:r>
        <w:t xml:space="preserve">of any one interval. The primary and holdout periods share the generator and</w:t>
      </w:r>
      <w:r>
        <w:t xml:space="preserve"> </w:t>
      </w:r>
      <w:r>
        <w:t xml:space="preserve">the underlying paths, so the split tests robustness rather than replication.</w:t>
      </w:r>
    </w:p>
    <w:bookmarkEnd w:id="61"/>
    <w:bookmarkStart w:id="62" w:name="what-a-practitioner-should-do-with-this"/>
    <w:p>
      <w:pPr>
        <w:pStyle w:val="Heading3"/>
      </w:pPr>
      <w:r>
        <w:t xml:space="preserve">7.4 What a practitioner should do with this</w:t>
      </w:r>
    </w:p>
    <w:p>
      <w:pPr>
        <w:pStyle w:val="FirstParagraph"/>
      </w:pPr>
      <w:r>
        <w:t xml:space="preserve">A practitioner who wants to</w:t>
      </w:r>
      <w:r>
        <w:t xml:space="preserve"> </w:t>
      </w:r>
      <w:r>
        <w:t xml:space="preserve">use a CPIV should know three things.</w:t>
      </w:r>
      <w:r>
        <w:t xml:space="preserve"> </w:t>
      </w:r>
      <w:r>
        <w:t xml:space="preserve">First, a CPIV computed from midpoints is not a measurement, and the</w:t>
      </w:r>
      <w:r>
        <w:t xml:space="preserve"> </w:t>
      </w:r>
      <w:r>
        <w:t xml:space="preserve">benchmark’s raw midpoint has a mean absolute error of</w:t>
      </w:r>
      <w:r>
        <w:t xml:space="preserve"> </w:t>
      </w:r>
      <w:r>
        <w:t xml:space="preserve">0.532 percentage points with a 95th percentile of</w:t>
      </w:r>
      <w:r>
        <w:t xml:space="preserve"> </w:t>
      </w:r>
      <w:r>
        <w:t xml:space="preserve">5.990 and a maximum of</w:t>
      </w:r>
      <w:r>
        <w:t xml:space="preserve"> </w:t>
      </w:r>
      <w:r>
        <w:t xml:space="preserve">10.956. Those are benchmark numbers and transfer</w:t>
      </w:r>
      <w:r>
        <w:t xml:space="preserve"> </w:t>
      </w:r>
      <w:r>
        <w:t xml:space="preserve">to a real market only as an order of magnitude, but the shape they describe</w:t>
      </w:r>
      <w:r>
        <w:t xml:space="preserve"> </w:t>
      </w:r>
      <w:r>
        <w:t xml:space="preserve">— a small tail carrying a large mean — is generic.</w:t>
      </w:r>
      <w:r>
        <w:t xml:space="preserve"> </w:t>
      </w:r>
      <w:r>
        <w:t xml:space="preserve">Second, the errors concentrate in identifiable places: wide quotes, short</w:t>
      </w:r>
      <w:r>
        <w:t xml:space="preserve"> </w:t>
      </w:r>
      <w:r>
        <w:t xml:space="preserve">maturities, wings, and the ticks on the clock.</w:t>
      </w:r>
      <w:r>
        <w:t xml:space="preserve"> </w:t>
      </w:r>
      <w:r>
        <w:t xml:space="preserve">Third, and least obvious: model-input sensitivity is larger than quote</w:t>
      </w:r>
      <w:r>
        <w:t xml:space="preserve"> </w:t>
      </w:r>
      <w:r>
        <w:t xml:space="preserve">sensitivity in these units. A certified CPIV is a statement about the</w:t>
      </w:r>
      <w:r>
        <w:t xml:space="preserve"> </w:t>
      </w:r>
      <w:r>
        <w:t xml:space="preserve">quotes, not about the spot, the rate or the dividend assumption behind them;</w:t>
      </w:r>
      <w:r>
        <w:t xml:space="preserve"> </w:t>
      </w:r>
      <w:r>
        <w:t xml:space="preserve">a user who reads</w:t>
      </w:r>
      <w:r>
        <w:t xml:space="preserve"> </w:t>
      </w:r>
      <w:r>
        <w:t xml:space="preserve">“certified”</w:t>
      </w:r>
      <w:r>
        <w:t xml:space="preserve"> </w:t>
      </w:r>
      <w:r>
        <w:t xml:space="preserve">as</w:t>
      </w:r>
      <w:r>
        <w:t xml:space="preserve"> </w:t>
      </w:r>
      <w:r>
        <w:t xml:space="preserve">“correct”</w:t>
      </w:r>
      <w:r>
        <w:t xml:space="preserve"> </w:t>
      </w:r>
      <w:r>
        <w:t xml:space="preserve">has misread it (Section 6.7).</w:t>
      </w:r>
    </w:p>
    <w:bookmarkEnd w:id="62"/>
    <w:bookmarkEnd w:id="63"/>
    <w:bookmarkStart w:id="64" w:name="conclusion-and-future-research"/>
    <w:p>
      <w:pPr>
        <w:pStyle w:val="Heading2"/>
      </w:pPr>
      <w:r>
        <w:t xml:space="preserve">8. Conclusion and future research</w:t>
      </w:r>
    </w:p>
    <w:p>
      <w:pPr>
        <w:pStyle w:val="FirstParagraph"/>
      </w:pPr>
      <w:r>
        <w:t xml:space="preserve">A call–put implied-volatility spread computed from quote midpoints is</w:t>
      </w:r>
      <w:r>
        <w:t xml:space="preserve"> </w:t>
      </w:r>
      <w:r>
        <w:t xml:space="preserve">routinely reported as though it were a measurement, and it frequently is</w:t>
      </w:r>
      <w:r>
        <w:t xml:space="preserve"> </w:t>
      </w:r>
      <w:r>
        <w:t xml:space="preserve">not. This paper describes a protocol that decides, for each quote pair,</w:t>
      </w:r>
      <w:r>
        <w:t xml:space="preserve"> </w:t>
      </w:r>
      <w:r>
        <w:t xml:space="preserve">whether the spread is determined at a declared tolerance, declines to assert</w:t>
      </w:r>
      <w:r>
        <w:t xml:space="preserve"> </w:t>
      </w:r>
      <w:r>
        <w:t xml:space="preserve">when it is not, and assigns every attempted pair one terminal status so that</w:t>
      </w:r>
      <w:r>
        <w:t xml:space="preserve"> </w:t>
      </w:r>
      <w:r>
        <w:t xml:space="preserve">nothing disappears silently.</w:t>
      </w:r>
      <w:r>
        <w:t xml:space="preserve"> </w:t>
      </w:r>
      <w:r>
        <w:t xml:space="preserve">Because the protocol labels rather than re-estimates, its advantage over the</w:t>
      </w:r>
      <w:r>
        <w:t xml:space="preserve"> </w:t>
      </w:r>
      <w:r>
        <w:t xml:space="preserve">raw midpoint is a selection effect, and the paper reports it as one: the</w:t>
      </w:r>
      <w:r>
        <w:t xml:space="preserve"> </w:t>
      </w:r>
      <w:r>
        <w:t xml:space="preserve">common-set difference is exactly zero, and the informative comparison is</w:t>
      </w:r>
      <w:r>
        <w:t xml:space="preserve"> </w:t>
      </w:r>
      <w:r>
        <w:t xml:space="preserve">against size-matched random subsets. Against a null that resamples whole</w:t>
      </w:r>
      <w:r>
        <w:t xml:space="preserve"> </w:t>
      </w:r>
      <w:r>
        <w:t xml:space="preserve">underlying-days, and so respects the within-day dependence of the quotes,</w:t>
      </w:r>
      <w:r>
        <w:t xml:space="preserve"> </w:t>
      </w:r>
      <w:r>
        <w:t xml:space="preserve">the certified subset is easier to measure in 23</w:t>
      </w:r>
      <w:r>
        <w:t xml:space="preserve"> </w:t>
      </w:r>
      <w:r>
        <w:t xml:space="preserve">of 23 replication draws in the benchmark.</w:t>
      </w:r>
      <w:r>
        <w:t xml:space="preserve"> </w:t>
      </w:r>
      <w:r>
        <w:t xml:space="preserve">One declared rule failed, and it is the result with the longest reach:</w:t>
      </w:r>
      <w:r>
        <w:t xml:space="preserve"> </w:t>
      </w:r>
      <w:r>
        <w:t xml:space="preserve">certification coverage depends strongly on quote microstructure, falling from</w:t>
      </w:r>
      <w:r>
        <w:t xml:space="preserve"> </w:t>
      </w:r>
      <w:r>
        <w:t xml:space="preserve">8.1 % at the median market specification to</w:t>
      </w:r>
      <w:r>
        <w:t xml:space="preserve"> </w:t>
      </w:r>
      <w:r>
        <w:t xml:space="preserve">0.0 % at the least favorable one. The protocol</w:t>
      </w:r>
      <w:r>
        <w:t xml:space="preserve"> </w:t>
      </w:r>
      <w:r>
        <w:t xml:space="preserve">is not a portable rule with a fixed yield. It is a labeling device whose</w:t>
      </w:r>
      <w:r>
        <w:t xml:space="preserve"> </w:t>
      </w:r>
      <w:r>
        <w:t xml:space="preserve">coverage is a property of the market it meets, and a practitioner who</w:t>
      </w:r>
      <w:r>
        <w:t xml:space="preserve"> </w:t>
      </w:r>
      <w:r>
        <w:t xml:space="preserve">carries a coverage figure from one market into another will be wrong.</w:t>
      </w:r>
      <w:r>
        <w:t xml:space="preserve"> </w:t>
      </w:r>
      <w:r>
        <w:t xml:space="preserve">The benchmark supports no market claim, and none is made. What it does</w:t>
      </w:r>
      <w:r>
        <w:t xml:space="preserve"> </w:t>
      </w:r>
      <w:r>
        <w:t xml:space="preserve">establish is that the machinery behaves as specified, that the abstention</w:t>
      </w:r>
      <w:r>
        <w:t xml:space="preserve"> </w:t>
      </w:r>
      <w:r>
        <w:t xml:space="preserve">rule has a quantifiable selection effect, and that the thresholds can be</w:t>
      </w:r>
      <w:r>
        <w:t xml:space="preserve"> </w:t>
      </w:r>
      <w:r>
        <w:t xml:space="preserve">fixed before any market data is read.</w:t>
      </w:r>
      <w:r>
        <w:t xml:space="preserve"> </w:t>
      </w:r>
      <w:r>
        <w:rPr>
          <w:b/>
          <w:bCs/>
        </w:rPr>
        <w:t xml:space="preserve">A market study</w:t>
      </w:r>
      <w:r>
        <w:t xml:space="preserve">, if data become available under a written license that covers publication of the outputs, with schema, sampling rule and tick convention frozen first; its primary result would be coverage and stability rather than accuracy.</w:t>
      </w:r>
      <w:r>
        <w:t xml:space="preserve"> </w:t>
      </w:r>
      <w:r>
        <w:rPr>
          <w:b/>
          <w:bCs/>
        </w:rPr>
        <w:t xml:space="preserve">An American fallback for the</w:t>
      </w:r>
      <w:r>
        <w:rPr>
          <w:b/>
          <w:bCs/>
        </w:rPr>
        <w:t xml:space="preserve"> </w:t>
      </w:r>
      <w:r>
        <w:rPr>
          <w:b/>
          <w:bCs/>
        </w:rPr>
        <w:t xml:space="preserve">put leg</w:t>
      </w:r>
      <w:r>
        <w:t xml:space="preserve">, which the benchmark shows the European map survives in the tested</w:t>
      </w:r>
      <w:r>
        <w:t xml:space="preserve"> </w:t>
      </w:r>
      <w:r>
        <w:t xml:space="preserve">regime, to be adopted on the strength of that market data’s exercise convention rather than a synthetic one. And</w:t>
      </w:r>
      <w:r>
        <w:t xml:space="preserve"> </w:t>
      </w:r>
      <w:r>
        <w:rPr>
          <w:b/>
          <w:bCs/>
        </w:rPr>
        <w:t xml:space="preserve">an independent reimplementation</w:t>
      </w:r>
      <w:r>
        <w:t xml:space="preserve"> </w:t>
      </w:r>
      <w:r>
        <w:t xml:space="preserve">of the inversion and the resolution rules, which no single-authored pipeline</w:t>
      </w:r>
      <w:r>
        <w:t xml:space="preserve"> </w:t>
      </w:r>
      <w:r>
        <w:t xml:space="preserve">can supply for itself.</w:t>
      </w:r>
    </w:p>
    <w:bookmarkEnd w:id="64"/>
    <w:bookmarkStart w:id="65" w:name="declarations-of-interest"/>
    <w:p>
      <w:pPr>
        <w:pStyle w:val="Heading2"/>
      </w:pPr>
      <w:r>
        <w:t xml:space="preserve">Declarations of Interest</w:t>
      </w:r>
    </w:p>
    <w:p>
      <w:pPr>
        <w:pStyle w:val="FirstParagraph"/>
      </w:pPr>
      <w:r>
        <w:rPr>
          <w:b/>
          <w:bCs/>
        </w:rPr>
        <w:t xml:space="preserve">Funding.</w:t>
      </w:r>
      <w:r>
        <w:t xml:space="preserve"> </w:t>
      </w:r>
      <w:r>
        <w:t xml:space="preserve">This research received no specific grant from any funding</w:t>
      </w:r>
      <w:r>
        <w:t xml:space="preserve"> </w:t>
      </w:r>
      <w:r>
        <w:t xml:space="preserve">agency in the public, commercial or not-for-profit sectors.</w:t>
      </w:r>
    </w:p>
    <w:p>
      <w:pPr>
        <w:pStyle w:val="BodyText"/>
      </w:pPr>
      <w:r>
        <w:rPr>
          <w:b/>
          <w:bCs/>
        </w:rPr>
        <w:t xml:space="preserve">Competing interests.</w:t>
      </w:r>
      <w:r>
        <w:t xml:space="preserve"> </w:t>
      </w:r>
      <w:r>
        <w:t xml:space="preserve">The author received a complimentary one-month HyperTracker Surge subscription from CoinMarketMan as in-kind support, and discloses it as a potential competing interest. The provider supplied no data or analytical input, and no HyperTracker data are used; all reported results are synthetic. The author alone is responsible for the content and writing of the paper.</w:t>
      </w:r>
    </w:p>
    <w:p>
      <w:pPr>
        <w:pStyle w:val="BodyText"/>
      </w:pPr>
      <w:r>
        <w:rPr>
          <w:b/>
          <w:bCs/>
        </w:rPr>
        <w:t xml:space="preserve">Ethics approval.</w:t>
      </w:r>
      <w:r>
        <w:t xml:space="preserve"> </w:t>
      </w:r>
      <w:r>
        <w:t xml:space="preserve">This study uses a synthetic instrument defined by a</w:t>
      </w:r>
      <w:r>
        <w:t xml:space="preserve"> </w:t>
      </w:r>
      <w:r>
        <w:t xml:space="preserve">released generator, with no human participants, human tissue, personally</w:t>
      </w:r>
      <w:r>
        <w:t xml:space="preserve"> </w:t>
      </w:r>
      <w:r>
        <w:t xml:space="preserve">identifiable data, or data collected from persons. Ethical review and</w:t>
      </w:r>
      <w:r>
        <w:t xml:space="preserve"> </w:t>
      </w:r>
      <w:r>
        <w:t xml:space="preserve">informed consent were therefore not required, and no institutional review</w:t>
      </w:r>
      <w:r>
        <w:t xml:space="preserve"> </w:t>
      </w:r>
      <w:r>
        <w:t xml:space="preserve">board approval applies.</w:t>
      </w:r>
    </w:p>
    <w:bookmarkEnd w:id="65"/>
    <w:bookmarkStart w:id="66" w:name="data-and-code-availability"/>
    <w:p>
      <w:pPr>
        <w:pStyle w:val="Heading2"/>
      </w:pPr>
      <w:r>
        <w:t xml:space="preserve">Data and code availability</w:t>
      </w:r>
    </w:p>
    <w:p>
      <w:pPr>
        <w:pStyle w:val="FirstParagraph"/>
      </w:pPr>
      <w:r>
        <w:t xml:space="preserve">This paper contains</w:t>
      </w:r>
      <w:r>
        <w:t xml:space="preserve"> </w:t>
      </w:r>
      <w:r>
        <w:rPr>
          <w:b/>
          <w:bCs/>
        </w:rPr>
        <w:t xml:space="preserve">no market data</w:t>
      </w:r>
      <w:r>
        <w:t xml:space="preserve">. Every result comes from a synthetic</w:t>
      </w:r>
      <w:r>
        <w:t xml:space="preserve"> </w:t>
      </w:r>
      <w:r>
        <w:t xml:space="preserve">instrument whose true call–put implied-volatility spread is defined by the</w:t>
      </w:r>
      <w:r>
        <w:t xml:space="preserve"> </w:t>
      </w:r>
      <w:r>
        <w:t xml:space="preserve">generator before any quote exists. The instrument, the protocol, the</w:t>
      </w:r>
      <w:r>
        <w:t xml:space="preserve"> </w:t>
      </w:r>
      <w:r>
        <w:t xml:space="preserve">replication sweep, the decision-rule tally and the manuscript build are</w:t>
      </w:r>
      <w:r>
        <w:t xml:space="preserve"> </w:t>
      </w:r>
      <w:r>
        <w:t xml:space="preserve">implemented in code, and run manifests record the configuration, the seed,</w:t>
      </w:r>
      <w:r>
        <w:t xml:space="preserve"> </w:t>
      </w:r>
      <w:r>
        <w:t xml:space="preserve">the environment and the output hashes of every run reported here. The code</w:t>
      </w:r>
      <w:r>
        <w:t xml:space="preserve"> </w:t>
      </w:r>
      <w:r>
        <w:t xml:space="preserve">and the aggregate run artifacts (the study summary, the per-draw sweep</w:t>
      </w:r>
      <w:r>
        <w:t xml:space="preserve"> </w:t>
      </w:r>
      <w:r>
        <w:t xml:space="preserve">outputs, the specification grid and the rule tally) are available from the</w:t>
      </w:r>
      <w:r>
        <w:t xml:space="preserve"> </w:t>
      </w:r>
      <w:r>
        <w:t xml:space="preserve">author for review and will be deposited in a public repository on</w:t>
      </w:r>
      <w:r>
        <w:t xml:space="preserve"> </w:t>
      </w:r>
      <w:r>
        <w:t xml:space="preserve">acceptance.</w:t>
      </w:r>
    </w:p>
    <w:p>
      <w:pPr>
        <w:pStyle w:val="BodyText"/>
      </w:pPr>
      <w:r>
        <w:t xml:space="preserve">No market data was used, licensed or otherwise. A market study is outside this paper, and no result in it depends on one.</w:t>
      </w:r>
    </w:p>
    <w:bookmarkEnd w:id="66"/>
    <w:bookmarkStart w:id="67" w:name="use-of-artificial-intelligence"/>
    <w:p>
      <w:pPr>
        <w:pStyle w:val="Heading2"/>
      </w:pPr>
      <w:r>
        <w:t xml:space="preserve">Use of artificial intelligence</w:t>
      </w:r>
    </w:p>
    <w:p>
      <w:pPr>
        <w:pStyle w:val="FirstParagraph"/>
      </w:pPr>
      <w:r>
        <w:t xml:space="preserve">The author used Perplexity for deep research, and Claude (Anthropic, model Haiku 5.5, October 2026) as an editing aid for the language of this manuscript and as a coding aid for the analysis code, the test suite and the manuscript build scripts. The addendum was written by the author without AI assistance.</w:t>
      </w:r>
      <w:r>
        <w:t xml:space="preserve"> </w:t>
      </w:r>
      <w:r>
        <w:t xml:space="preserve">No AI system generated a result, a number or a table: every number in this paper is</w:t>
      </w:r>
      <w:r>
        <w:t xml:space="preserve"> </w:t>
      </w:r>
      <w:r>
        <w:t xml:space="preserve">produced by the released code from the released artifacts, and the manuscript build</w:t>
      </w:r>
      <w:r>
        <w:t xml:space="preserve"> </w:t>
      </w:r>
      <w:r>
        <w:t xml:space="preserve">fails if any numeric slot in the text has no corresponding value in those artifacts.</w:t>
      </w:r>
      <w:r>
        <w:t xml:space="preserve"> </w:t>
      </w:r>
      <w:r>
        <w:t xml:space="preserve">The author reviewed all assisted text and code, ran the test suite, and is</w:t>
      </w:r>
      <w:r>
        <w:t xml:space="preserve"> </w:t>
      </w:r>
      <w:r>
        <w:t xml:space="preserve">responsible for the entire content of the paper.</w:t>
      </w:r>
    </w:p>
    <w:bookmarkEnd w:id="67"/>
    <w:bookmarkStart w:id="68" w:name="author-contributions"/>
    <w:p>
      <w:pPr>
        <w:pStyle w:val="Heading2"/>
      </w:pPr>
      <w:r>
        <w:t xml:space="preserve">Author contributions</w:t>
      </w:r>
    </w:p>
    <w:p>
      <w:pPr>
        <w:pStyle w:val="FirstParagraph"/>
      </w:pPr>
      <w:r>
        <w:t xml:space="preserve">The sole author contributed to every CRediT category: Conceptualization,</w:t>
      </w:r>
      <w:r>
        <w:t xml:space="preserve"> </w:t>
      </w:r>
      <w:r>
        <w:t xml:space="preserve">Methodology, Software, Validation, Formal analysis, Investigation, Data</w:t>
      </w:r>
      <w:r>
        <w:t xml:space="preserve"> </w:t>
      </w:r>
      <w:r>
        <w:t xml:space="preserve">curation, Writing – original draft, Writing – review and editing,</w:t>
      </w:r>
      <w:r>
        <w:t xml:space="preserve"> </w:t>
      </w:r>
      <w:r>
        <w:t xml:space="preserve">Visualization, and Supervision. Author identity is withheld for blind</w:t>
      </w:r>
      <w:r>
        <w:t xml:space="preserve"> </w:t>
      </w:r>
      <w:r>
        <w:t xml:space="preserve">review; the named author appears on the separate title page. The author</w:t>
      </w:r>
      <w:r>
        <w:t xml:space="preserve"> </w:t>
      </w:r>
      <w:r>
        <w:t xml:space="preserve">reviewed and approved every AI-assisted task described above and takes</w:t>
      </w:r>
      <w:r>
        <w:t xml:space="preserve"> </w:t>
      </w:r>
      <w:r>
        <w:t xml:space="preserve">full responsibility for the paper.</w:t>
      </w:r>
    </w:p>
    <w:bookmarkEnd w:id="68"/>
    <w:bookmarkStart w:id="69" w:name="references"/>
    <w:p>
      <w:pPr>
        <w:pStyle w:val="Heading2"/>
      </w:pPr>
      <w:r>
        <w:t xml:space="preserve">References</w:t>
      </w:r>
    </w:p>
    <w:p>
      <w:pPr>
        <w:pStyle w:val="FirstParagraph"/>
      </w:pPr>
      <w:r>
        <w:t xml:space="preserve">Black, F., &amp; Scholes, M. S. (1973). The pricing of options and corporate liabilities.</w:t>
      </w:r>
      <w:r>
        <w:t xml:space="preserve"> </w:t>
      </w:r>
      <w:r>
        <w:rPr>
          <w:i/>
          <w:iCs/>
        </w:rPr>
        <w:t xml:space="preserve">Journal of Political Economy, 81</w:t>
      </w:r>
      <w:r>
        <w:t xml:space="preserve">(3), 637–654. https://doi.org/10.1086/260062</w:t>
      </w:r>
    </w:p>
    <w:p>
      <w:pPr>
        <w:pStyle w:val="BodyText"/>
      </w:pPr>
      <w:r>
        <w:t xml:space="preserve">Breeden, D. T., &amp; Litzenberger, R. H. (1978). Prices of state-contingent claims implicit in option prices.</w:t>
      </w:r>
      <w:r>
        <w:t xml:space="preserve"> </w:t>
      </w:r>
      <w:r>
        <w:rPr>
          <w:i/>
          <w:iCs/>
        </w:rPr>
        <w:t xml:space="preserve">The Journal of Business, 51</w:t>
      </w:r>
      <w:r>
        <w:t xml:space="preserve">(4), 621–651. https://doi.org/10.1086/296025</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J. C., Ross, S. A., &amp; Rubinstein, M. (1979). Option pricing: A simplified approach.</w:t>
      </w:r>
      <w:r>
        <w:t xml:space="preserve"> </w:t>
      </w:r>
      <w:r>
        <w:rPr>
          <w:i/>
          <w:iCs/>
        </w:rPr>
        <w:t xml:space="preserve">Journal of Financial Economics, 7</w:t>
      </w:r>
      <w:r>
        <w:t xml:space="preserve">(3), 229–263. https://doi.org/10.1016/0304-405X(79)90015-1</w:t>
      </w:r>
    </w:p>
    <w:p>
      <w:pPr>
        <w:pStyle w:val="BodyText"/>
      </w:pPr>
      <w:r>
        <w:t xml:space="preserve">Cremers, M., &amp; Weinbaum, D. (2010). Deviations from put–call parity and stock return predictability.</w:t>
      </w:r>
      <w:r>
        <w:t xml:space="preserve"> </w:t>
      </w:r>
      <w:r>
        <w:rPr>
          <w:i/>
          <w:iCs/>
        </w:rPr>
        <w:t xml:space="preserve">Journal of Financial and Quantitative Analysis, 45</w:t>
      </w:r>
      <w:r>
        <w:t xml:space="preserve">(2), 335–367. https://doi.org/10.1017/S002210901000013X</w:t>
      </w:r>
    </w:p>
    <w:p>
      <w:pPr>
        <w:pStyle w:val="BodyText"/>
      </w:pPr>
      <w:r>
        <w:t xml:space="preserve">Davison, A. C., &amp; Hinkley, D. V. (1997).</w:t>
      </w:r>
      <w:r>
        <w:t xml:space="preserve"> </w:t>
      </w:r>
      <w:r>
        <w:rPr>
          <w:i/>
          <w:iCs/>
        </w:rPr>
        <w:t xml:space="preserve">Bootstrap methods and their application</w:t>
      </w:r>
      <w:r>
        <w:t xml:space="preserve">. Cambridge University Press. https://doi.org/10.1017/CBO9780511802843</w:t>
      </w:r>
    </w:p>
    <w:p>
      <w:pPr>
        <w:pStyle w:val="BodyText"/>
      </w:pPr>
      <w:r>
        <w:t xml:space="preserve">Efron, B., &amp; Tibshirani, R. J. (1993).</w:t>
      </w:r>
      <w:r>
        <w:t xml:space="preserve"> </w:t>
      </w:r>
      <w:r>
        <w:rPr>
          <w:i/>
          <w:iCs/>
        </w:rPr>
        <w:t xml:space="preserve">An introduction to the bootstrap</w:t>
      </w:r>
      <w:r>
        <w:t xml:space="preserve">. Chapman &amp; Hall.</w:t>
      </w:r>
    </w:p>
    <w:p>
      <w:pPr>
        <w:pStyle w:val="BodyText"/>
      </w:pPr>
      <w:r>
        <w:t xml:space="preserve">Figlewski, S. (1989). Options arbitrage in imperfect markets.</w:t>
      </w:r>
      <w:r>
        <w:t xml:space="preserve"> </w:t>
      </w:r>
      <w:r>
        <w:rPr>
          <w:i/>
          <w:iCs/>
        </w:rPr>
        <w:t xml:space="preserve">The Journal of Finance, 44</w:t>
      </w:r>
      <w:r>
        <w:t xml:space="preserve">(5), 1289–1311. https://doi.org/10.1111/j.1540-6261.1989.tb02654.x</w:t>
      </w:r>
    </w:p>
    <w:p>
      <w:pPr>
        <w:pStyle w:val="BodyText"/>
      </w:pPr>
      <w:r>
        <w:t xml:space="preserve">Glosten, L. R., &amp; Milgrom, P. R. (1985). Bid, ask and transaction prices in a specialist market with heterogeneously informed traders.</w:t>
      </w:r>
      <w:r>
        <w:t xml:space="preserve"> </w:t>
      </w:r>
      <w:r>
        <w:rPr>
          <w:i/>
          <w:iCs/>
        </w:rPr>
        <w:t xml:space="preserve">Journal of Financial Economics, 14</w:t>
      </w:r>
      <w:r>
        <w:t xml:space="preserve">(1), 71–100. https://doi.org/10.1016/0304-405X(85)90044-3</w:t>
      </w:r>
    </w:p>
    <w:p>
      <w:pPr>
        <w:pStyle w:val="BodyText"/>
      </w:pPr>
      <w:r>
        <w:t xml:space="preserve">Harvey, C. R., Liu, Y., &amp; Zhu, H. (2016). … and the cross-section of expected returns.</w:t>
      </w:r>
      <w:r>
        <w:t xml:space="preserve"> </w:t>
      </w:r>
      <w:r>
        <w:rPr>
          <w:i/>
          <w:iCs/>
        </w:rPr>
        <w:t xml:space="preserve">The Review of Financial Studies, 29</w:t>
      </w:r>
      <w:r>
        <w:t xml:space="preserve">(1), 5–68. https://doi.org/10.1093/rfs/hhv059</w:t>
      </w:r>
    </w:p>
    <w:p>
      <w:pPr>
        <w:pStyle w:val="BodyText"/>
      </w:pPr>
      <w:r>
        <w:t xml:space="preserve">Hentschel, L. (2003). Errors in implied volatility estimation.</w:t>
      </w:r>
      <w:r>
        <w:t xml:space="preserve"> </w:t>
      </w:r>
      <w:r>
        <w:rPr>
          <w:i/>
          <w:iCs/>
        </w:rPr>
        <w:t xml:space="preserve">Journal of Financial and Quantitative Analysis, 38</w:t>
      </w:r>
      <w:r>
        <w:t xml:space="preserve">(4), 779–810. https://doi.org/10.2307/4126743</w:t>
      </w:r>
    </w:p>
    <w:p>
      <w:pPr>
        <w:pStyle w:val="BodyText"/>
      </w:pPr>
      <w:r>
        <w:t xml:space="preserve">Imbens, G. W., &amp; Rubin, D. B. (2015).</w:t>
      </w:r>
      <w:r>
        <w:t xml:space="preserve"> </w:t>
      </w:r>
      <w:r>
        <w:rPr>
          <w:i/>
          <w:iCs/>
        </w:rPr>
        <w:t xml:space="preserve">Causal inference for statistics, social, and biomedical sciences: An introduction</w:t>
      </w:r>
      <w:r>
        <w:t xml:space="preserve">. Cambridge University Press. https://doi.org/10.1017/CBO9781139025751</w:t>
      </w:r>
    </w:p>
    <w:p>
      <w:pPr>
        <w:pStyle w:val="BodyText"/>
      </w:pPr>
      <w:r>
        <w:t xml:space="preserve">Longstaff, F. A., &amp; Schwartz, E. S. (2001). Valuing American options by simulation: A simple least-squares approach.</w:t>
      </w:r>
      <w:r>
        <w:t xml:space="preserve"> </w:t>
      </w:r>
      <w:r>
        <w:rPr>
          <w:i/>
          <w:iCs/>
        </w:rPr>
        <w:t xml:space="preserve">The Review of Financial Studies, 14</w:t>
      </w:r>
      <w:r>
        <w:t xml:space="preserve">(1), 113–147. https://doi.org/10.1093/rfs/14.1.113</w:t>
      </w:r>
    </w:p>
    <w:p>
      <w:pPr>
        <w:pStyle w:val="BodyText"/>
      </w:pPr>
      <w:r>
        <w:t xml:space="preserve">Madhavan, A. (2000). Market microstructure: A survey.</w:t>
      </w:r>
      <w:r>
        <w:t xml:space="preserve"> </w:t>
      </w:r>
      <w:r>
        <w:rPr>
          <w:i/>
          <w:iCs/>
        </w:rPr>
        <w:t xml:space="preserve">Journal of Financial Markets, 3</w:t>
      </w:r>
      <w:r>
        <w:t xml:space="preserve">(3), 205–258. https://doi.org/10.1016/S1386-4181(00)00007-0</w:t>
      </w:r>
    </w:p>
    <w:p>
      <w:pPr>
        <w:pStyle w:val="BodyText"/>
      </w:pPr>
      <w:r>
        <w:t xml:space="preserve">Merton, R. C. (1973). Theory of rational option pricing.</w:t>
      </w:r>
      <w:r>
        <w:t xml:space="preserve"> </w:t>
      </w:r>
      <w:r>
        <w:rPr>
          <w:i/>
          <w:iCs/>
        </w:rPr>
        <w:t xml:space="preserve">The Bell Journal of Economics and Management Science, 4</w:t>
      </w:r>
      <w:r>
        <w:t xml:space="preserve">(1), 141–183. https://doi.org/10.2307/3003143</w:t>
      </w:r>
    </w:p>
    <w:p>
      <w:pPr>
        <w:pStyle w:val="BodyText"/>
      </w:pPr>
      <w:r>
        <w:t xml:space="preserve">Nordén, L. (2003). Asymmetric option price distribution and bid–ask quotes: Consequences for implied volatility smiles.</w:t>
      </w:r>
      <w:r>
        <w:t xml:space="preserve"> </w:t>
      </w:r>
      <w:r>
        <w:rPr>
          <w:i/>
          <w:iCs/>
        </w:rPr>
        <w:t xml:space="preserve">Journal of Multinational Financial Management, 13</w:t>
      </w:r>
      <w:r>
        <w:t xml:space="preserve">(4–5), 423–441. https://doi.org/10.1016/s1042-444x(03)00019-7</w:t>
      </w:r>
    </w:p>
    <w:p>
      <w:pPr>
        <w:pStyle w:val="BodyText"/>
      </w:pPr>
      <w:r>
        <w:t xml:space="preserve">Nosek, B. A., Ebersole, C. R., DeHaven, A. C., &amp; Mellor, D. T. (2018). The preregistration revolution.</w:t>
      </w:r>
      <w:r>
        <w:t xml:space="preserve"> </w:t>
      </w:r>
      <w:r>
        <w:rPr>
          <w:i/>
          <w:iCs/>
        </w:rPr>
        <w:t xml:space="preserve">Proceedings of the National Academy of Sciences, 115</w:t>
      </w:r>
      <w:r>
        <w:t xml:space="preserve">(11), 2600–2606. https://doi.org/10.1073/pnas.1708274114</w:t>
      </w:r>
    </w:p>
    <w:p>
      <w:pPr>
        <w:pStyle w:val="BodyText"/>
      </w:pPr>
      <w:r>
        <w:t xml:space="preserve">Ofek, E., Richardson, M., &amp; Whitelaw, R. F. (2004). Limited arbitrage and short sales restrictions: Evidence from the options markets.</w:t>
      </w:r>
      <w:r>
        <w:t xml:space="preserve"> </w:t>
      </w:r>
      <w:r>
        <w:rPr>
          <w:i/>
          <w:iCs/>
        </w:rPr>
        <w:t xml:space="preserve">Journal of Financial Economics, 74</w:t>
      </w:r>
      <w:r>
        <w:t xml:space="preserve">(2), 305–342. https://doi.org/10.1016/j.jfineco.2003.05.008</w:t>
      </w:r>
    </w:p>
    <w:p>
      <w:pPr>
        <w:pStyle w:val="BodyText"/>
      </w:pPr>
      <w:r>
        <w:t xml:space="preserve">Politis, D. N., &amp; Romano, J. P. (1994). The stationary bootstrap.</w:t>
      </w:r>
      <w:r>
        <w:t xml:space="preserve"> </w:t>
      </w:r>
      <w:r>
        <w:rPr>
          <w:i/>
          <w:iCs/>
        </w:rPr>
        <w:t xml:space="preserve">Journal of the American Statistical Association, 89</w:t>
      </w:r>
      <w:r>
        <w:t xml:space="preserve">(428), 1303–1313. https://doi.org/10.1080/01621459.1994.10476870</w:t>
      </w:r>
    </w:p>
    <w:p>
      <w:pPr>
        <w:pStyle w:val="BodyText"/>
      </w:pPr>
      <w:r>
        <w:t xml:space="preserve">Politis, D. N., &amp; White, H. (2004). Automatic block-length selection for the dependent bootstrap.</w:t>
      </w:r>
      <w:r>
        <w:t xml:space="preserve"> </w:t>
      </w:r>
      <w:r>
        <w:rPr>
          <w:i/>
          <w:iCs/>
        </w:rPr>
        <w:t xml:space="preserve">Econometric Reviews, 23</w:t>
      </w:r>
      <w:r>
        <w:t xml:space="preserve">(1), 53–70. https://doi.org/10.1081/ETC-120028836</w:t>
      </w:r>
    </w:p>
    <w:p>
      <w:pPr>
        <w:pStyle w:val="BodyText"/>
      </w:pPr>
      <w:r>
        <w:t xml:space="preserve">White, H. (2000). A reality check for data snooping.</w:t>
      </w:r>
      <w:r>
        <w:t xml:space="preserve"> </w:t>
      </w:r>
      <w:r>
        <w:rPr>
          <w:i/>
          <w:iCs/>
        </w:rPr>
        <w:t xml:space="preserve">Econometrica, 68</w:t>
      </w:r>
      <w:r>
        <w:t xml:space="preserve">(5), 1097–1126. https://doi.org/10.1111/1468-0262.00152</w:t>
      </w:r>
    </w:p>
    <w:bookmarkEnd w:id="69"/>
    <w:bookmarkEnd w:id="70"/>
    <w:sectPr>
      <w:pgSz w:w="11906" w:h="16838"/>
      <w:pgMar w:top="1418" w:right="1418" w:bottom="1418" w:left="1418" w:header="709" w:footer="709"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uto" w:space="0" w:sz="8" w:val="single"/>
        <w:bottom w:color="auto" w:space="0" w:sz="8" w:val="single"/>
        <w:insideH w:color="auto" w:space="0" w:sz="4" w:val="single"/>
      </w:tblBorders>
      <w:tblInd w:type="dxa" w:w="0"/>
      <w:tblCellMar>
        <w:top w:type="dxa" w:w="0"/>
        <w:left w:type="dxa" w:w="108"/>
        <w:bottom w:type="dxa" w:w="0"/>
        <w:right w:type="dxa" w:w="108"/>
      </w:tblCellMar>
    </w:tblPr>
    <w:tblStylePr w:type="firstRow">
      <w:tcPr>
        <w:tcBorders>
          <w:bottom w:val="single"/>
        </w:tcBorders>
        <w:vAlign w:val="bottom"/>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2026-10-31T11:50:11Z</dcterms:created>
  <dcterms:modified xsi:type="dcterms:W3CDTF">2026-10-31T11:50:11Z</dcterms:modified>
</cp:coreProperties>
</file>

<file path=docProps/custom.xml><?xml version="1.0" encoding="utf-8"?>
<Properties xmlns="http://schemas.openxmlformats.org/officeDocument/2006/custom-properties" xmlns:vt="http://schemas.openxmlformats.org/officeDocument/2006/docPropsVTypes"/>
</file>