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2AB2C" w14:textId="77777777" w:rsidR="00DA2EC0" w:rsidRPr="009A39F9" w:rsidRDefault="00183CE1" w:rsidP="009A39F9">
      <w:pPr>
        <w:pStyle w:val="a1"/>
        <w:jc w:val="both"/>
        <w:rPr>
          <w:rFonts w:ascii="Palatino" w:eastAsia="PT Serif" w:hAnsi="Palatino" w:cs="PT Serif"/>
        </w:rPr>
      </w:pPr>
      <w:r w:rsidRPr="009A39F9">
        <w:rPr>
          <w:rStyle w:val="a2"/>
          <w:rFonts w:ascii="Palatino" w:hAnsi="Palatino"/>
        </w:rPr>
        <w:t>Handout for 2018 International Energy Summit</w:t>
      </w:r>
    </w:p>
    <w:p w14:paraId="422D8D9A" w14:textId="77777777" w:rsidR="00DA2EC0" w:rsidRPr="009A39F9" w:rsidRDefault="00183CE1" w:rsidP="009A39F9">
      <w:pPr>
        <w:pStyle w:val="a1"/>
        <w:jc w:val="both"/>
        <w:rPr>
          <w:rFonts w:ascii="Palatino" w:eastAsia="PT Serif" w:hAnsi="Palatino" w:cs="PT Serif"/>
        </w:rPr>
      </w:pPr>
      <w:r w:rsidRPr="009A39F9">
        <w:rPr>
          <w:rFonts w:ascii="Palatino" w:hAnsi="Palatino"/>
        </w:rPr>
        <w:t>-Electric Vehicle: Out of Gas and Driving on E</w:t>
      </w:r>
    </w:p>
    <w:p w14:paraId="689E25E2" w14:textId="77777777" w:rsidR="00DA2EC0" w:rsidRPr="009A39F9" w:rsidRDefault="00DA2EC0" w:rsidP="009A39F9">
      <w:pPr>
        <w:pStyle w:val="a1"/>
        <w:jc w:val="both"/>
        <w:rPr>
          <w:rFonts w:ascii="Palatino" w:eastAsia="PT Serif" w:hAnsi="Palatino" w:cs="PT Serif"/>
        </w:rPr>
      </w:pPr>
    </w:p>
    <w:p w14:paraId="1620403F" w14:textId="77777777" w:rsidR="00DA2EC0" w:rsidRPr="009A39F9" w:rsidRDefault="00183CE1" w:rsidP="009A39F9">
      <w:pPr>
        <w:pStyle w:val="a1"/>
        <w:jc w:val="both"/>
        <w:rPr>
          <w:rFonts w:ascii="Palatino" w:eastAsia="PT Serif" w:hAnsi="Palatino" w:cs="PT Serif"/>
          <w:b/>
          <w:bCs/>
        </w:rPr>
      </w:pPr>
      <w:r w:rsidRPr="009A39F9">
        <w:rPr>
          <w:rFonts w:ascii="Palatino" w:hAnsi="Palatino"/>
          <w:b/>
          <w:bCs/>
        </w:rPr>
        <w:t>1. Introduction</w:t>
      </w:r>
    </w:p>
    <w:p w14:paraId="6E4D6F00" w14:textId="77777777" w:rsidR="00DA2EC0" w:rsidRPr="009A39F9" w:rsidRDefault="00183CE1" w:rsidP="009A39F9">
      <w:pPr>
        <w:pStyle w:val="a1"/>
        <w:jc w:val="both"/>
        <w:rPr>
          <w:rStyle w:val="a2"/>
          <w:rFonts w:ascii="Palatino" w:eastAsia="PT Serif" w:hAnsi="Palatino" w:cs="PT Serif"/>
        </w:rPr>
      </w:pPr>
      <w:r w:rsidRPr="009A39F9">
        <w:rPr>
          <w:rFonts w:ascii="Palatino" w:hAnsi="Palatino"/>
        </w:rPr>
        <w:t>Continuous growing number of motor vehicle inevitably results in the increasing demand of fossil fuel and, consequently, leads to more CO</w:t>
      </w:r>
      <w:r w:rsidRPr="009A39F9">
        <w:rPr>
          <w:rStyle w:val="a2"/>
          <w:rFonts w:ascii="Palatino" w:hAnsi="Palatino"/>
          <w:vertAlign w:val="subscript"/>
        </w:rPr>
        <w:t xml:space="preserve">2 </w:t>
      </w:r>
      <w:r w:rsidRPr="009A39F9">
        <w:rPr>
          <w:rFonts w:ascii="Palatino" w:hAnsi="Palatino"/>
        </w:rPr>
        <w:t xml:space="preserve">emission. Renewable energy has already been introduced to many industries, including motor vehicle industry. Dislike traditional motor vehicle, battery-electric vehicles (EVs) could provide higher efficiency and emit zero tailpipe. Though the technique of EV being prove to be beneficial to both consumers and environment, there are still many obstacles, such as the limitation of EV technique (smaller cruise range than motor vehicle), consumers’ possible reluctant acceptance, current policy and the electric infrastructure development. We have conducted a research focused on the development of electric infrastructure: charging stations for EVs. In this handout, we will present significant factors which will influence the schedule of banning motor vehicles and the building of charging stations in order to migrate motor vehicles to EVs. </w:t>
      </w:r>
    </w:p>
    <w:p w14:paraId="2BA84318" w14:textId="77777777" w:rsidR="00DA2EC0" w:rsidRPr="009A39F9" w:rsidRDefault="00DA2EC0" w:rsidP="009A39F9">
      <w:pPr>
        <w:pStyle w:val="a1"/>
        <w:jc w:val="both"/>
        <w:rPr>
          <w:rStyle w:val="a2"/>
          <w:rFonts w:ascii="Palatino" w:eastAsia="PT Serif" w:hAnsi="Palatino" w:cs="PT Serif"/>
        </w:rPr>
      </w:pPr>
    </w:p>
    <w:p w14:paraId="7122BF5D" w14:textId="77777777" w:rsidR="00DA2EC0" w:rsidRPr="009A39F9" w:rsidRDefault="00183CE1" w:rsidP="009A39F9">
      <w:pPr>
        <w:pStyle w:val="a1"/>
        <w:jc w:val="both"/>
        <w:rPr>
          <w:rStyle w:val="a2"/>
          <w:rFonts w:ascii="Palatino" w:eastAsia="PT Serif" w:hAnsi="Palatino" w:cs="PT Serif"/>
          <w:b/>
          <w:bCs/>
        </w:rPr>
      </w:pPr>
      <w:r w:rsidRPr="009A39F9">
        <w:rPr>
          <w:rStyle w:val="a2"/>
          <w:rFonts w:ascii="Palatino" w:hAnsi="Palatino"/>
          <w:b/>
          <w:bCs/>
        </w:rPr>
        <w:t>2.Findings from Our Research</w:t>
      </w:r>
    </w:p>
    <w:p w14:paraId="5D145635" w14:textId="62673A00" w:rsidR="00DA2EC0" w:rsidRPr="009A39F9" w:rsidRDefault="00183CE1" w:rsidP="009A39F9">
      <w:pPr>
        <w:pStyle w:val="a1"/>
        <w:jc w:val="both"/>
        <w:rPr>
          <w:rStyle w:val="a2"/>
          <w:rFonts w:ascii="Palatino" w:eastAsia="PT Serif" w:hAnsi="Palatino" w:cs="PT Serif"/>
        </w:rPr>
      </w:pPr>
      <w:r w:rsidRPr="009A39F9">
        <w:rPr>
          <w:rStyle w:val="a2"/>
          <w:rFonts w:ascii="Palatino" w:hAnsi="Palatino"/>
        </w:rPr>
        <w:t xml:space="preserve">After having studied on planning charging station network in three different types of country: </w:t>
      </w:r>
      <w:proofErr w:type="gramStart"/>
      <w:r w:rsidRPr="009A39F9">
        <w:rPr>
          <w:rStyle w:val="a2"/>
          <w:rFonts w:ascii="Palatino" w:hAnsi="Palatino"/>
        </w:rPr>
        <w:t>the</w:t>
      </w:r>
      <w:proofErr w:type="gramEnd"/>
      <w:r w:rsidRPr="009A39F9">
        <w:rPr>
          <w:rStyle w:val="a2"/>
          <w:rFonts w:ascii="Palatino" w:hAnsi="Palatino"/>
        </w:rPr>
        <w:t xml:space="preserve"> United Stat</w:t>
      </w:r>
      <w:r w:rsidR="00FF2A50" w:rsidRPr="009A39F9">
        <w:rPr>
          <w:rStyle w:val="a2"/>
          <w:rFonts w:ascii="Palatino" w:hAnsi="Palatino"/>
        </w:rPr>
        <w:t xml:space="preserve">es, South Korea and Australia, </w:t>
      </w:r>
      <w:r w:rsidRPr="009A39F9">
        <w:rPr>
          <w:rStyle w:val="a2"/>
          <w:rFonts w:ascii="Palatino" w:hAnsi="Palatino"/>
        </w:rPr>
        <w:t>we can conclude there are three factors concerning with developing nationwide charging station network:</w:t>
      </w:r>
    </w:p>
    <w:p w14:paraId="703C202B"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Population</w:t>
      </w:r>
    </w:p>
    <w:p w14:paraId="4DAB078F"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The distribution of population</w:t>
      </w:r>
    </w:p>
    <w:p w14:paraId="354DCF31"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The density of population</w:t>
      </w:r>
    </w:p>
    <w:p w14:paraId="05126744"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Vehicle per person</w:t>
      </w:r>
    </w:p>
    <w:p w14:paraId="2E1054BA"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Traffic network</w:t>
      </w:r>
    </w:p>
    <w:p w14:paraId="438F1FD0"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Traffic flow</w:t>
      </w:r>
    </w:p>
    <w:p w14:paraId="64C449E6"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Tendency of residents’ movement</w:t>
      </w:r>
    </w:p>
    <w:p w14:paraId="5953E681"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The Average Performance of EV</w:t>
      </w:r>
    </w:p>
    <w:p w14:paraId="02BEB690"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Cruise Range</w:t>
      </w:r>
    </w:p>
    <w:p w14:paraId="696E61AA"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Charging Time</w:t>
      </w:r>
    </w:p>
    <w:p w14:paraId="4AA5AF2B" w14:textId="77777777" w:rsidR="00DA2EC0" w:rsidRPr="009A39F9" w:rsidRDefault="00DA2EC0" w:rsidP="009A39F9">
      <w:pPr>
        <w:pStyle w:val="a1"/>
        <w:jc w:val="both"/>
        <w:rPr>
          <w:rStyle w:val="a2"/>
          <w:rFonts w:ascii="Palatino" w:eastAsia="PT Serif" w:hAnsi="Palatino" w:cs="PT Serif"/>
        </w:rPr>
      </w:pPr>
    </w:p>
    <w:p w14:paraId="513DF17E" w14:textId="77777777" w:rsidR="00DA2EC0" w:rsidRPr="009A39F9" w:rsidRDefault="00183CE1" w:rsidP="009A39F9">
      <w:pPr>
        <w:pStyle w:val="a1"/>
        <w:jc w:val="both"/>
        <w:rPr>
          <w:rStyle w:val="a2"/>
          <w:rFonts w:ascii="Palatino" w:eastAsia="PT Serif" w:hAnsi="Palatino" w:cs="PT Serif"/>
        </w:rPr>
      </w:pPr>
      <w:r w:rsidRPr="009A39F9">
        <w:rPr>
          <w:rStyle w:val="a2"/>
          <w:rFonts w:ascii="Palatino" w:hAnsi="Palatino"/>
        </w:rPr>
        <w:t>In addition, there are key factors that influence the planning schedule for migrating the motor vehicles to EVs:</w:t>
      </w:r>
    </w:p>
    <w:p w14:paraId="506645B1"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Wealth distribution</w:t>
      </w:r>
    </w:p>
    <w:p w14:paraId="7E8C65BF"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Monthly income per capita</w:t>
      </w:r>
    </w:p>
    <w:p w14:paraId="6B285768"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Average EV price</w:t>
      </w:r>
    </w:p>
    <w:p w14:paraId="05AE16EA"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Cost of recharging</w:t>
      </w:r>
    </w:p>
    <w:p w14:paraId="02B1B24E"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Subsides from government</w:t>
      </w:r>
    </w:p>
    <w:p w14:paraId="7611FCA6"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Sales rate of EV</w:t>
      </w:r>
    </w:p>
    <w:p w14:paraId="2B1673DB"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Development of electric charging infrastructure</w:t>
      </w:r>
    </w:p>
    <w:p w14:paraId="1767533B" w14:textId="77777777" w:rsidR="00DA2EC0" w:rsidRPr="009A39F9" w:rsidRDefault="00183CE1" w:rsidP="009A39F9">
      <w:pPr>
        <w:pStyle w:val="a1"/>
        <w:numPr>
          <w:ilvl w:val="1"/>
          <w:numId w:val="4"/>
        </w:numPr>
        <w:jc w:val="both"/>
        <w:rPr>
          <w:rStyle w:val="a2"/>
          <w:rFonts w:ascii="Palatino" w:eastAsia="PT Serif" w:hAnsi="Palatino" w:cs="PT Serif"/>
        </w:rPr>
      </w:pPr>
      <w:r w:rsidRPr="009A39F9">
        <w:rPr>
          <w:rStyle w:val="a2"/>
          <w:rFonts w:ascii="Palatino" w:hAnsi="Palatino"/>
        </w:rPr>
        <w:t>Coverage rate of charging stations network</w:t>
      </w:r>
    </w:p>
    <w:p w14:paraId="71F0BA86" w14:textId="77777777" w:rsidR="00DA2EC0" w:rsidRPr="009A39F9" w:rsidRDefault="00183CE1" w:rsidP="009A39F9">
      <w:pPr>
        <w:pStyle w:val="a1"/>
        <w:numPr>
          <w:ilvl w:val="0"/>
          <w:numId w:val="2"/>
        </w:numPr>
        <w:jc w:val="both"/>
        <w:rPr>
          <w:rStyle w:val="a2"/>
          <w:rFonts w:ascii="Palatino" w:eastAsia="PT Serif" w:hAnsi="Palatino" w:cs="PT Serif"/>
        </w:rPr>
      </w:pPr>
      <w:r w:rsidRPr="009A39F9">
        <w:rPr>
          <w:rStyle w:val="a2"/>
          <w:rFonts w:ascii="Palatino" w:hAnsi="Palatino"/>
        </w:rPr>
        <w:t xml:space="preserve">Current policy </w:t>
      </w:r>
    </w:p>
    <w:p w14:paraId="3B309A72" w14:textId="77777777" w:rsidR="00DA2EC0" w:rsidRPr="009A39F9" w:rsidRDefault="00DA2EC0" w:rsidP="009A39F9">
      <w:pPr>
        <w:pStyle w:val="a1"/>
        <w:jc w:val="both"/>
        <w:rPr>
          <w:rStyle w:val="a2"/>
          <w:rFonts w:ascii="Palatino" w:eastAsia="PT Serif" w:hAnsi="Palatino" w:cs="PT Serif"/>
        </w:rPr>
      </w:pPr>
    </w:p>
    <w:p w14:paraId="52A1D351" w14:textId="77777777" w:rsidR="00DA2EC0" w:rsidRPr="009A39F9" w:rsidRDefault="00183CE1" w:rsidP="009A39F9">
      <w:pPr>
        <w:pStyle w:val="a1"/>
        <w:jc w:val="both"/>
        <w:rPr>
          <w:rStyle w:val="a2"/>
          <w:rFonts w:ascii="Palatino" w:hAnsi="Palatino"/>
        </w:rPr>
      </w:pPr>
      <w:r w:rsidRPr="009A39F9">
        <w:rPr>
          <w:rStyle w:val="a2"/>
          <w:rFonts w:ascii="Palatino" w:hAnsi="Palatino"/>
        </w:rPr>
        <w:t>3.Summary</w:t>
      </w:r>
    </w:p>
    <w:p w14:paraId="51B838E0" w14:textId="77777777" w:rsidR="00B83FCD" w:rsidRPr="009A39F9" w:rsidRDefault="00B83FCD" w:rsidP="009A39F9">
      <w:pPr>
        <w:pStyle w:val="a1"/>
        <w:jc w:val="both"/>
        <w:rPr>
          <w:rFonts w:ascii="Palatino" w:eastAsia="PT Serif" w:hAnsi="Palatino" w:cs="PT Serif"/>
        </w:rPr>
      </w:pPr>
    </w:p>
    <w:p w14:paraId="2534A457" w14:textId="3430A763" w:rsidR="00DA2EC0" w:rsidRPr="009A39F9" w:rsidRDefault="00991843" w:rsidP="009A39F9">
      <w:pPr>
        <w:pStyle w:val="a1"/>
        <w:jc w:val="both"/>
        <w:rPr>
          <w:rFonts w:ascii="Palatino" w:eastAsia="PT Serif" w:hAnsi="Palatino" w:cs="PT Serif"/>
          <w:lang w:val="en-GB"/>
        </w:rPr>
      </w:pPr>
      <w:r>
        <w:rPr>
          <w:rFonts w:ascii="Palatino" w:eastAsia="PT Serif" w:hAnsi="Palatino" w:cs="PT Serif"/>
          <w:lang w:val="en-GB"/>
        </w:rPr>
        <w:t>In conclusion, to successfully migrate personal transportation to all-electric cars, two aspects are mainly considered.</w:t>
      </w:r>
      <w:r w:rsidR="001724BE">
        <w:rPr>
          <w:rFonts w:ascii="Palatino" w:eastAsia="PT Serif" w:hAnsi="Palatino" w:cs="PT Serif"/>
          <w:lang w:val="en-GB"/>
        </w:rPr>
        <w:t xml:space="preserve"> First</w:t>
      </w:r>
      <w:r w:rsidR="001158E9">
        <w:rPr>
          <w:rFonts w:ascii="Palatino" w:eastAsia="PT Serif" w:hAnsi="Palatino" w:cs="PT Serif"/>
          <w:lang w:val="en-GB"/>
        </w:rPr>
        <w:t>,</w:t>
      </w:r>
      <w:r w:rsidR="001724BE">
        <w:rPr>
          <w:rFonts w:ascii="Palatino" w:eastAsia="PT Serif" w:hAnsi="Palatino" w:cs="PT Serif"/>
          <w:lang w:val="en-GB"/>
        </w:rPr>
        <w:t xml:space="preserve"> to develop reasonable charging station network, population, traffic network and property of EV are key factors. A strong charging electric power support is an essential condition for complete transformation from </w:t>
      </w:r>
      <w:r w:rsidR="00D172DB">
        <w:rPr>
          <w:rFonts w:ascii="Palatino" w:eastAsia="PT Serif" w:hAnsi="Palatino" w:cs="PT Serif"/>
          <w:lang w:val="en-GB"/>
        </w:rPr>
        <w:t>traditional to environmental lifestyle.</w:t>
      </w:r>
      <w:r w:rsidR="001158E9">
        <w:rPr>
          <w:rFonts w:ascii="Palatino" w:eastAsia="PT Serif" w:hAnsi="Palatino" w:cs="PT Serif"/>
          <w:lang w:val="en-GB"/>
        </w:rPr>
        <w:t xml:space="preserve"> Secondly, developing schedule depends on local financial condition, construction period and policy. </w:t>
      </w:r>
      <w:r w:rsidR="006A7F0E">
        <w:rPr>
          <w:rFonts w:ascii="Palatino" w:eastAsia="PT Serif" w:hAnsi="Palatino" w:cs="PT Serif"/>
          <w:lang w:val="en-GB"/>
        </w:rPr>
        <w:t xml:space="preserve">Based on these factors, a proper plan could be arranged according </w:t>
      </w:r>
      <w:bookmarkStart w:id="0" w:name="_GoBack"/>
      <w:bookmarkEnd w:id="0"/>
      <w:r w:rsidR="006A7F0E">
        <w:rPr>
          <w:rFonts w:ascii="Palatino" w:eastAsia="PT Serif" w:hAnsi="Palatino" w:cs="PT Serif"/>
          <w:lang w:val="en-GB"/>
        </w:rPr>
        <w:t xml:space="preserve">to specific circumstance. Reasonably, efficiently and systematically to expand advanced trip mode is </w:t>
      </w:r>
      <w:r w:rsidR="001514B1">
        <w:rPr>
          <w:rFonts w:ascii="Palatino" w:eastAsia="PT Serif" w:hAnsi="Palatino" w:cs="PT Serif"/>
          <w:lang w:val="en-GB"/>
        </w:rPr>
        <w:t>current</w:t>
      </w:r>
      <w:r w:rsidR="006A7F0E">
        <w:rPr>
          <w:rFonts w:ascii="Palatino" w:eastAsia="PT Serif" w:hAnsi="Palatino" w:cs="PT Serif"/>
          <w:lang w:val="en-GB"/>
        </w:rPr>
        <w:t xml:space="preserve"> pursu</w:t>
      </w:r>
      <w:r w:rsidR="006A7F0E">
        <w:rPr>
          <w:rFonts w:ascii="Palatino" w:eastAsia="PT Serif" w:hAnsi="Palatino" w:cs="PT Serif" w:hint="eastAsia"/>
          <w:lang w:val="en-GB"/>
        </w:rPr>
        <w:t>it</w:t>
      </w:r>
      <w:r w:rsidR="001514B1">
        <w:rPr>
          <w:rFonts w:ascii="Palatino" w:eastAsia="PT Serif" w:hAnsi="Palatino" w:cs="PT Serif"/>
          <w:lang w:val="en-GB"/>
        </w:rPr>
        <w:t xml:space="preserve"> and efforts are taken for a better place.</w:t>
      </w:r>
      <w:r w:rsidR="0024171B">
        <w:rPr>
          <w:rFonts w:ascii="Palatino" w:eastAsia="PT Serif" w:hAnsi="Palatino" w:cs="PT Serif"/>
          <w:lang w:val="en-GB"/>
        </w:rPr>
        <w:t xml:space="preserve"> The gas vehicle-ban date is set when evolution of migration reaches 96%.</w:t>
      </w:r>
    </w:p>
    <w:p w14:paraId="6F91763E" w14:textId="77777777" w:rsidR="00DA2EC0" w:rsidRPr="006A7F0E" w:rsidRDefault="00DA2EC0" w:rsidP="009A39F9">
      <w:pPr>
        <w:pStyle w:val="a1"/>
        <w:jc w:val="both"/>
        <w:rPr>
          <w:rFonts w:ascii="Palatino" w:eastAsia="PT Serif" w:hAnsi="Palatino" w:cs="PT Serif"/>
          <w:lang w:val="en-GB"/>
        </w:rPr>
      </w:pPr>
    </w:p>
    <w:p w14:paraId="3A722428" w14:textId="77777777" w:rsidR="00DA2EC0" w:rsidRPr="009A39F9" w:rsidRDefault="00DA2EC0" w:rsidP="009A39F9">
      <w:pPr>
        <w:pStyle w:val="a1"/>
        <w:jc w:val="both"/>
        <w:rPr>
          <w:rFonts w:ascii="Palatino" w:eastAsia="PT Serif" w:hAnsi="Palatino" w:cs="PT Serif"/>
        </w:rPr>
      </w:pPr>
    </w:p>
    <w:p w14:paraId="47E1E148" w14:textId="77777777" w:rsidR="00DA2EC0" w:rsidRPr="009A39F9" w:rsidRDefault="00DA2EC0" w:rsidP="009A39F9">
      <w:pPr>
        <w:pStyle w:val="a1"/>
        <w:jc w:val="both"/>
        <w:rPr>
          <w:rFonts w:ascii="Palatino" w:eastAsia="PT Serif" w:hAnsi="Palatino" w:cs="PT Serif"/>
        </w:rPr>
      </w:pPr>
    </w:p>
    <w:p w14:paraId="3F8C5D53" w14:textId="77777777" w:rsidR="00DA2EC0" w:rsidRPr="009A39F9" w:rsidRDefault="00DA2EC0" w:rsidP="009A39F9">
      <w:pPr>
        <w:pStyle w:val="a1"/>
        <w:jc w:val="both"/>
        <w:rPr>
          <w:rFonts w:ascii="Palatino" w:eastAsia="PT Serif" w:hAnsi="Palatino" w:cs="PT Serif"/>
        </w:rPr>
      </w:pPr>
    </w:p>
    <w:p w14:paraId="06E50EA6" w14:textId="77777777" w:rsidR="00DA2EC0" w:rsidRPr="009A39F9" w:rsidRDefault="00DA2EC0" w:rsidP="009A39F9">
      <w:pPr>
        <w:pStyle w:val="a1"/>
        <w:jc w:val="both"/>
        <w:rPr>
          <w:rFonts w:ascii="Palatino" w:eastAsia="PT Serif" w:hAnsi="Palatino" w:cs="PT Serif"/>
        </w:rPr>
      </w:pPr>
    </w:p>
    <w:p w14:paraId="1C6FB373" w14:textId="77777777" w:rsidR="00DA2EC0" w:rsidRPr="009A39F9" w:rsidRDefault="00DA2EC0" w:rsidP="009A39F9">
      <w:pPr>
        <w:pStyle w:val="a1"/>
        <w:jc w:val="both"/>
        <w:rPr>
          <w:rFonts w:ascii="Palatino" w:eastAsia="PT Serif" w:hAnsi="Palatino" w:cs="PT Serif"/>
        </w:rPr>
      </w:pPr>
    </w:p>
    <w:p w14:paraId="0443FEA6" w14:textId="77777777" w:rsidR="00DA2EC0" w:rsidRPr="009A39F9" w:rsidRDefault="00DA2EC0" w:rsidP="009A39F9">
      <w:pPr>
        <w:pStyle w:val="a1"/>
        <w:jc w:val="both"/>
        <w:rPr>
          <w:rFonts w:ascii="Palatino" w:eastAsia="PT Serif" w:hAnsi="Palatino" w:cs="PT Serif"/>
        </w:rPr>
      </w:pPr>
    </w:p>
    <w:p w14:paraId="3F8CDECD" w14:textId="77777777" w:rsidR="00DA2EC0" w:rsidRPr="009A39F9" w:rsidRDefault="00DA2EC0" w:rsidP="009A39F9">
      <w:pPr>
        <w:pStyle w:val="a1"/>
        <w:jc w:val="both"/>
        <w:rPr>
          <w:rFonts w:ascii="Palatino" w:eastAsia="PT Serif" w:hAnsi="Palatino" w:cs="PT Serif"/>
        </w:rPr>
      </w:pPr>
    </w:p>
    <w:p w14:paraId="1A4C36AA" w14:textId="77777777" w:rsidR="00DA2EC0" w:rsidRPr="009A39F9" w:rsidRDefault="00DA2EC0" w:rsidP="009A39F9">
      <w:pPr>
        <w:pStyle w:val="a1"/>
        <w:jc w:val="both"/>
        <w:rPr>
          <w:rFonts w:ascii="Palatino" w:eastAsia="PT Serif" w:hAnsi="Palatino" w:cs="PT Serif"/>
        </w:rPr>
      </w:pPr>
    </w:p>
    <w:p w14:paraId="78D9E994" w14:textId="77777777" w:rsidR="00DA2EC0" w:rsidRPr="009A39F9" w:rsidRDefault="00DA2EC0" w:rsidP="009A39F9">
      <w:pPr>
        <w:pStyle w:val="a1"/>
        <w:jc w:val="both"/>
        <w:rPr>
          <w:rFonts w:ascii="Palatino" w:eastAsia="PT Serif" w:hAnsi="Palatino" w:cs="PT Serif"/>
        </w:rPr>
      </w:pPr>
    </w:p>
    <w:p w14:paraId="5AE2BA17" w14:textId="77777777" w:rsidR="00DA2EC0" w:rsidRPr="009A39F9" w:rsidRDefault="00DA2EC0" w:rsidP="009A39F9">
      <w:pPr>
        <w:pStyle w:val="a1"/>
        <w:jc w:val="both"/>
        <w:rPr>
          <w:rFonts w:ascii="Palatino" w:eastAsia="PT Serif" w:hAnsi="Palatino" w:cs="PT Serif"/>
        </w:rPr>
      </w:pPr>
    </w:p>
    <w:p w14:paraId="4709F0C7" w14:textId="77777777" w:rsidR="00DA2EC0" w:rsidRPr="009A39F9" w:rsidRDefault="00DA2EC0" w:rsidP="009A39F9">
      <w:pPr>
        <w:pStyle w:val="a1"/>
        <w:jc w:val="both"/>
        <w:rPr>
          <w:rFonts w:ascii="Palatino" w:hAnsi="Palatino"/>
        </w:rPr>
      </w:pPr>
    </w:p>
    <w:sectPr w:rsidR="00DA2EC0" w:rsidRPr="009A39F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B892D" w14:textId="77777777" w:rsidR="00FE13F7" w:rsidRDefault="00FE13F7">
      <w:r>
        <w:separator/>
      </w:r>
    </w:p>
  </w:endnote>
  <w:endnote w:type="continuationSeparator" w:id="0">
    <w:p w14:paraId="5B486FEA" w14:textId="77777777" w:rsidR="00FE13F7" w:rsidRDefault="00FE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0E8E3" w14:textId="77777777" w:rsidR="00DA2EC0" w:rsidRDefault="00DA2EC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CE7C2" w14:textId="77777777" w:rsidR="00FE13F7" w:rsidRDefault="00FE13F7">
      <w:r>
        <w:separator/>
      </w:r>
    </w:p>
  </w:footnote>
  <w:footnote w:type="continuationSeparator" w:id="0">
    <w:p w14:paraId="4D5359AB" w14:textId="77777777" w:rsidR="00FE13F7" w:rsidRDefault="00FE1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12DD" w14:textId="77777777" w:rsidR="00DA2EC0" w:rsidRDefault="00DA2EC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E388A"/>
    <w:multiLevelType w:val="hybridMultilevel"/>
    <w:tmpl w:val="A6A478C8"/>
    <w:styleLink w:val="a"/>
    <w:lvl w:ilvl="0" w:tplc="0C14B0A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E22C381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9564B0C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6BAE7C8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FB66361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9B4C516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17206A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36E4549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A942E2D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1">
    <w:nsid w:val="368E2039"/>
    <w:multiLevelType w:val="hybridMultilevel"/>
    <w:tmpl w:val="D6FE48CA"/>
    <w:styleLink w:val="a0"/>
    <w:lvl w:ilvl="0" w:tplc="DBB89F7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7A0F3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882E89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906194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F369C4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9D86C1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09AEB0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F6A50B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918C6A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3AD131CB"/>
    <w:multiLevelType w:val="hybridMultilevel"/>
    <w:tmpl w:val="A6A478C8"/>
    <w:numStyleLink w:val="a"/>
  </w:abstractNum>
  <w:abstractNum w:abstractNumId="3">
    <w:nsid w:val="570806E2"/>
    <w:multiLevelType w:val="hybridMultilevel"/>
    <w:tmpl w:val="D6FE48CA"/>
    <w:numStyleLink w:val="a0"/>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C0"/>
    <w:rsid w:val="001158E9"/>
    <w:rsid w:val="001514B1"/>
    <w:rsid w:val="001724BE"/>
    <w:rsid w:val="00183CE1"/>
    <w:rsid w:val="0024171B"/>
    <w:rsid w:val="006A7F0E"/>
    <w:rsid w:val="00991843"/>
    <w:rsid w:val="009A39F9"/>
    <w:rsid w:val="00B83FCD"/>
    <w:rsid w:val="00C3727A"/>
    <w:rsid w:val="00D172DB"/>
    <w:rsid w:val="00DA2EC0"/>
    <w:rsid w:val="00FE13F7"/>
    <w:rsid w:val="00FF2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0CA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1">
    <w:name w:val="正文"/>
    <w:rPr>
      <w:rFonts w:ascii="Helvetica" w:hAnsi="Helvetica" w:cs="Arial Unicode MS"/>
      <w:color w:val="000000"/>
      <w:sz w:val="22"/>
      <w:szCs w:val="22"/>
    </w:rPr>
  </w:style>
  <w:style w:type="paragraph" w:customStyle="1" w:styleId="1">
    <w:name w:val="表格样式 1"/>
    <w:rPr>
      <w:rFonts w:ascii="Helvetica" w:hAnsi="Helvetica" w:cs="Arial Unicode MS"/>
      <w:b/>
      <w:bCs/>
      <w:color w:val="000000"/>
    </w:rPr>
  </w:style>
  <w:style w:type="character" w:customStyle="1" w:styleId="a2">
    <w:name w:val="无"/>
    <w:rPr>
      <w:lang w:val="en-US"/>
    </w:rPr>
  </w:style>
  <w:style w:type="numbering" w:customStyle="1" w:styleId="a">
    <w:name w:val="大项目符号"/>
    <w:pPr>
      <w:numPr>
        <w:numId w:val="1"/>
      </w:numPr>
    </w:pPr>
  </w:style>
  <w:style w:type="numbering" w:customStyle="1" w:styleId="a0">
    <w:name w:val="项目符号"/>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405</Words>
  <Characters>2314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2018-02-12T13:30:00Z</dcterms:created>
  <dcterms:modified xsi:type="dcterms:W3CDTF">2018-02-12T15:15:00Z</dcterms:modified>
</cp:coreProperties>
</file>