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HAUSARBEIT_GESAMT_BRAXMEIER_FINAL</w:t>
      </w:r>
    </w:p>
    <w:bookmarkStart w:id="9" w:name="titelblatt"/>
    <w:p>
      <w:pPr>
        <w:pStyle w:val="Heading1"/>
      </w:pPr>
      <w:r>
        <w:t xml:space="preserve">Titelblatt</w:t>
      </w:r>
    </w:p>
    <w:p>
      <w:pPr>
        <w:pStyle w:val="FirstParagraph"/>
      </w:pPr>
      <w:r>
        <w:rPr>
          <w:b/>
          <w:bCs/>
        </w:rPr>
        <w:t xml:space="preserve">Hochschule Furtwangen (HFU)</w:t>
      </w:r>
      <w:r>
        <w:br/>
      </w:r>
      <w:r>
        <w:rPr>
          <w:b/>
          <w:bCs/>
        </w:rPr>
        <w:t xml:space="preserve">Fakultät Gesundheit, Sicherheit, Gesellschaft</w:t>
      </w:r>
      <w:r>
        <w:br/>
      </w:r>
      <w:r>
        <w:rPr>
          <w:b/>
          <w:bCs/>
        </w:rPr>
        <w:t xml:space="preserve">Studiengang:</w:t>
      </w:r>
      <w:r>
        <w:t xml:space="preserve"> </w:t>
      </w:r>
      <w:r>
        <w:t xml:space="preserve">M.Sc. Angewandte Gesundheitsförderung</w:t>
      </w:r>
    </w:p>
    <w:p>
      <w:r>
        <w:pict>
          <v:rect style="width:0;height:1.5pt" o:hralign="center" o:hrstd="t" o:hr="t"/>
        </w:pict>
      </w:r>
    </w:p>
    <w:p>
      <w:pPr>
        <w:pStyle w:val="FirstParagraph"/>
      </w:pPr>
      <w:r>
        <w:rPr>
          <w:b/>
          <w:bCs/>
        </w:rPr>
        <w:t xml:space="preserve">Hausarbeit im Modul:</w:t>
      </w:r>
      <w:r>
        <w:t xml:space="preserve"> </w:t>
      </w:r>
      <w:r>
        <w:t xml:space="preserve">Global Health</w:t>
      </w:r>
      <w:r>
        <w:br/>
      </w:r>
      <w:r>
        <w:rPr>
          <w:b/>
          <w:bCs/>
        </w:rPr>
        <w:t xml:space="preserve">Thema:</w:t>
      </w:r>
    </w:p>
    <w:bookmarkEnd w:id="9"/>
    <w:bookmarkStart w:id="11" w:name="X64226e6d789e05b1847c5be8c6da66b7a383256"/>
    <w:p>
      <w:pPr>
        <w:pStyle w:val="Heading1"/>
      </w:pPr>
      <w:r>
        <w:t xml:space="preserve">Widerstand als diagnostisches Instrument in Community Health Systems</w:t>
      </w:r>
    </w:p>
    <w:bookmarkStart w:id="10" w:name="X522b67a119c39bc29fcd632cf9d4caf440ba5ef"/>
    <w:p>
      <w:pPr>
        <w:pStyle w:val="Heading3"/>
      </w:pPr>
      <w:r>
        <w:t xml:space="preserve">Eine Analyse des „Lack of Fit“ zwischen Systemlogik und Lebenswelt am Beispiel der Moskitonetz-Intervention in Uganda</w:t>
      </w:r>
    </w:p>
    <w:p>
      <w:r>
        <w:pict>
          <v:rect style="width:0;height:1.5pt" o:hralign="center" o:hrstd="t" o:hr="t"/>
        </w:pict>
      </w:r>
    </w:p>
    <w:p>
      <w:pPr>
        <w:pStyle w:val="FirstParagraph"/>
      </w:pPr>
      <w:r>
        <w:rPr>
          <w:b/>
          <w:bCs/>
        </w:rPr>
        <w:t xml:space="preserve">Vorgelegt von:</w:t>
      </w:r>
      <w:r>
        <w:br/>
      </w:r>
      <w:r>
        <w:t xml:space="preserve">Andreas Braxmeier</w:t>
      </w:r>
      <w:r>
        <w:br/>
      </w:r>
      <w:r>
        <w:t xml:space="preserve">Matrikelnummer: 268250</w:t>
      </w:r>
      <w:r>
        <w:br/>
      </w:r>
      <w:r>
        <w:t xml:space="preserve">Bregstraße 8</w:t>
      </w:r>
      <w:r>
        <w:br/>
      </w:r>
      <w:r>
        <w:t xml:space="preserve">78120 Furtwangen</w:t>
      </w:r>
    </w:p>
    <w:p>
      <w:pPr>
        <w:pStyle w:val="BodyText"/>
      </w:pPr>
      <w:r>
        <w:rPr>
          <w:b/>
          <w:bCs/>
        </w:rPr>
        <w:t xml:space="preserve">Dozentin:</w:t>
      </w:r>
      <w:r>
        <w:t xml:space="preserve"> </w:t>
      </w:r>
      <w:r>
        <w:t xml:space="preserve">Prof. Dr. Nicole Weydmann</w:t>
      </w:r>
      <w:r>
        <w:br/>
      </w:r>
      <w:r>
        <w:rPr>
          <w:b/>
          <w:bCs/>
        </w:rPr>
        <w:t xml:space="preserve">Abgabedatum:</w:t>
      </w:r>
      <w:r>
        <w:t xml:space="preserve"> </w:t>
      </w:r>
      <w:r>
        <w:t xml:space="preserve">02. Februar 2026</w:t>
      </w:r>
    </w:p>
    <w:p>
      <w:r>
        <w:pict>
          <v:rect style="width:0;height:1.5pt" o:hralign="center" o:hrstd="t" o:hr="t"/>
        </w:pict>
      </w:r>
    </w:p>
    <w:bookmarkEnd w:id="10"/>
    <w:bookmarkEnd w:id="11"/>
    <w:bookmarkStart w:id="12" w:name="inhaltsverzeichnis"/>
    <w:p>
      <w:pPr>
        <w:pStyle w:val="Heading1"/>
      </w:pPr>
      <w:r>
        <w:t xml:space="preserve">Inhaltsverzeichnis</w:t>
      </w:r>
    </w:p>
    <w:p>
      <w:pPr>
        <w:pStyle w:val="Compact"/>
        <w:numPr>
          <w:ilvl w:val="0"/>
          <w:numId w:val="1001"/>
        </w:numPr>
      </w:pPr>
      <w:r>
        <w:rPr>
          <w:b/>
          <w:bCs/>
        </w:rPr>
        <w:t xml:space="preserve">Einleitung</w:t>
      </w:r>
      <w:r>
        <w:t xml:space="preserve"> </w:t>
      </w:r>
      <w:r>
        <w:t xml:space="preserve">........................................................................................... 1</w:t>
      </w:r>
      <w:r>
        <w:br/>
      </w:r>
      <w:r>
        <w:t xml:space="preserve">1.1 Problemstellung und Relevanz ........................................................ 1</w:t>
      </w:r>
      <w:r>
        <w:br/>
      </w:r>
      <w:r>
        <w:t xml:space="preserve">1.2 Forschungsfrage und Zielsetzung ..................................................... 1</w:t>
      </w:r>
    </w:p>
    <w:p>
      <w:pPr>
        <w:pStyle w:val="Compact"/>
        <w:numPr>
          <w:ilvl w:val="0"/>
          <w:numId w:val="1001"/>
        </w:numPr>
      </w:pPr>
      <w:r>
        <w:rPr>
          <w:b/>
          <w:bCs/>
        </w:rPr>
        <w:t xml:space="preserve">Theoretischer Rahmen</w:t>
      </w:r>
      <w:r>
        <w:t xml:space="preserve"> </w:t>
      </w:r>
      <w:r>
        <w:t xml:space="preserve">......................................................................... 2</w:t>
      </w:r>
      <w:r>
        <w:br/>
      </w:r>
      <w:r>
        <w:t xml:space="preserve">2.1 Community Health Systems (CHS) im Global Health Kontext ........... 2</w:t>
      </w:r>
      <w:r>
        <w:br/>
      </w:r>
      <w:r>
        <w:t xml:space="preserve">2.2 Biopolitik und Machttechnologien nach Foucault ............................. 2</w:t>
      </w:r>
      <w:r>
        <w:br/>
      </w:r>
      <w:r>
        <w:t xml:space="preserve">2.3 Das Konzept der psychologischen Reaktanz und Lebenswelt ............ 3</w:t>
      </w:r>
    </w:p>
    <w:p>
      <w:pPr>
        <w:pStyle w:val="Compact"/>
        <w:numPr>
          <w:ilvl w:val="0"/>
          <w:numId w:val="1001"/>
        </w:numPr>
      </w:pPr>
      <w:r>
        <w:rPr>
          <w:b/>
          <w:bCs/>
        </w:rPr>
        <w:t xml:space="preserve">Machtasymmetrien in CHS</w:t>
      </w:r>
      <w:r>
        <w:t xml:space="preserve"> </w:t>
      </w:r>
      <w:r>
        <w:t xml:space="preserve">................................................................... 4</w:t>
      </w:r>
      <w:r>
        <w:br/>
      </w:r>
      <w:r>
        <w:t xml:space="preserve">3.1 Agents of Care vs. Agents of the State ............................................ 4</w:t>
      </w:r>
      <w:r>
        <w:br/>
      </w:r>
      <w:r>
        <w:t xml:space="preserve">3.2 Epistemische Ungerechtigkeit und Wissenshierarchien .................... 4</w:t>
      </w:r>
      <w:r>
        <w:br/>
      </w:r>
      <w:r>
        <w:t xml:space="preserve">3.3 Digitale Überwachung und Mortifikation .......................................... 5</w:t>
      </w:r>
    </w:p>
    <w:p>
      <w:pPr>
        <w:pStyle w:val="Compact"/>
        <w:numPr>
          <w:ilvl w:val="0"/>
          <w:numId w:val="1001"/>
        </w:numPr>
      </w:pPr>
      <w:r>
        <w:rPr>
          <w:b/>
          <w:bCs/>
        </w:rPr>
        <w:t xml:space="preserve">Widerstand als diagnostisches Feedback-Instrument</w:t>
      </w:r>
      <w:r>
        <w:t xml:space="preserve"> </w:t>
      </w:r>
      <w:r>
        <w:t xml:space="preserve">............................ 6</w:t>
      </w:r>
      <w:r>
        <w:br/>
      </w:r>
      <w:r>
        <w:t xml:space="preserve">4.1 Dekonstruktion der „Non-Compliance“ ............................................. 6</w:t>
      </w:r>
      <w:r>
        <w:br/>
      </w:r>
      <w:r>
        <w:t xml:space="preserve">4.2 Widerstand als Indikator für den „Lack of Fit“ ................................. 6</w:t>
      </w:r>
      <w:r>
        <w:br/>
      </w:r>
      <w:r>
        <w:t xml:space="preserve">4.3 Statistische Evidenz der Widerstandsbarrieren ................................. 7</w:t>
      </w:r>
    </w:p>
    <w:p>
      <w:pPr>
        <w:pStyle w:val="Compact"/>
        <w:numPr>
          <w:ilvl w:val="0"/>
          <w:numId w:val="1001"/>
        </w:numPr>
      </w:pPr>
      <w:r>
        <w:rPr>
          <w:b/>
          <w:bCs/>
        </w:rPr>
        <w:t xml:space="preserve">Fallstudie: ITN-Distribution in Uganda</w:t>
      </w:r>
      <w:r>
        <w:t xml:space="preserve"> </w:t>
      </w:r>
      <w:r>
        <w:t xml:space="preserve">.................................................. 8</w:t>
      </w:r>
      <w:r>
        <w:br/>
      </w:r>
      <w:r>
        <w:t xml:space="preserve">5.1 Die ökonomische Realität am Victoriasee ......................................... 8</w:t>
      </w:r>
      <w:r>
        <w:br/>
      </w:r>
      <w:r>
        <w:t xml:space="preserve">5.2 Der „Lack of Fit“: Taktische Repolitisierung von Ressourcen ............ 8</w:t>
      </w:r>
    </w:p>
    <w:p>
      <w:pPr>
        <w:pStyle w:val="Compact"/>
        <w:numPr>
          <w:ilvl w:val="0"/>
          <w:numId w:val="1001"/>
        </w:numPr>
      </w:pPr>
      <w:r>
        <w:rPr>
          <w:b/>
          <w:bCs/>
        </w:rPr>
        <w:t xml:space="preserve">Diskussion und Handlungsempfehlungen</w:t>
      </w:r>
      <w:r>
        <w:t xml:space="preserve"> </w:t>
      </w:r>
      <w:r>
        <w:t xml:space="preserve">.............................................. 9</w:t>
      </w:r>
      <w:r>
        <w:br/>
      </w:r>
      <w:r>
        <w:t xml:space="preserve">6.1 Von der Edukation zur systemischen Adaptation ............................. 9</w:t>
      </w:r>
      <w:r>
        <w:br/>
      </w:r>
      <w:r>
        <w:t xml:space="preserve">6.2 Messbarkeit von Co-Creation jenseits quantitativer KPIs ................. 9</w:t>
      </w:r>
    </w:p>
    <w:p>
      <w:pPr>
        <w:pStyle w:val="Compact"/>
        <w:numPr>
          <w:ilvl w:val="0"/>
          <w:numId w:val="1001"/>
        </w:numPr>
      </w:pPr>
      <w:r>
        <w:rPr>
          <w:b/>
          <w:bCs/>
        </w:rPr>
        <w:t xml:space="preserve">Fazit</w:t>
      </w:r>
      <w:r>
        <w:t xml:space="preserve"> </w:t>
      </w:r>
      <w:r>
        <w:t xml:space="preserve">..................................................................................................... 10</w:t>
      </w:r>
    </w:p>
    <w:p>
      <w:pPr>
        <w:pStyle w:val="Compact"/>
        <w:numPr>
          <w:ilvl w:val="0"/>
          <w:numId w:val="1001"/>
        </w:numPr>
      </w:pPr>
      <w:r>
        <w:rPr>
          <w:b/>
          <w:bCs/>
        </w:rPr>
        <w:t xml:space="preserve">Literaturverzeichnis</w:t>
      </w:r>
      <w:r>
        <w:t xml:space="preserve"> </w:t>
      </w:r>
      <w:r>
        <w:t xml:space="preserve">.............................................................................. 11</w:t>
      </w:r>
    </w:p>
    <w:p>
      <w:pPr>
        <w:pStyle w:val="Compact"/>
        <w:numPr>
          <w:ilvl w:val="0"/>
          <w:numId w:val="1001"/>
        </w:numPr>
      </w:pPr>
      <w:r>
        <w:rPr>
          <w:b/>
          <w:bCs/>
        </w:rPr>
        <w:t xml:space="preserve">Eigenständigkeitserklärung</w:t>
      </w:r>
      <w:r>
        <w:t xml:space="preserve"> </w:t>
      </w:r>
      <w:r>
        <w:t xml:space="preserve">................................................................ 12</w:t>
      </w:r>
    </w:p>
    <w:p>
      <w:r>
        <w:pict>
          <v:rect style="width:0;height:1.5pt" o:hralign="center" o:hrstd="t" o:hr="t"/>
        </w:pict>
      </w:r>
    </w:p>
    <w:bookmarkEnd w:id="12"/>
    <w:bookmarkStart w:id="16" w:name="einleitung"/>
    <w:p>
      <w:pPr>
        <w:pStyle w:val="Heading1"/>
      </w:pPr>
      <w:r>
        <w:t xml:space="preserve">1. Einleitung</w:t>
      </w:r>
    </w:p>
    <w:bookmarkStart w:id="13" w:name="X318c07f075fb1c24cd28df8f396b664d1c04bfa"/>
    <w:p>
      <w:pPr>
        <w:pStyle w:val="Heading2"/>
      </w:pPr>
      <w:r>
        <w:t xml:space="preserve">1.1 Problemstellung und Relevanz im Global Health Diskurs</w:t>
      </w:r>
    </w:p>
    <w:p>
      <w:pPr>
        <w:pStyle w:val="FirstParagraph"/>
      </w:pPr>
      <w:r>
        <w:t xml:space="preserve">Die globale Gesundheitsarchitektur des 21. Jahrhunderts offenbart eine fundamentale Diskrepanz, welche die Effektivität internationaler Interventionen zunehmend infrage stellt. Während die biomedizinische Forschung hocheffektive Lösungen wie Vakzine oder präventive Technologien (z.B. ITNs) bereitstellt, versanden diese Programme oft auf der „letzten Meile“ der Implementierung. Dieses „Implementation Gap“ wird im klassischen Public-Health-Diskurs häufig einseitig als Problem der Zielpopulation gerahmt. Unter dem Label der „Non-Compliance“ wird Gemeinschaften unterstellt, sie seien unzureichend informiert oder handelten aufgrund kultureller Voreingenommenheit irrational.</w:t>
      </w:r>
    </w:p>
    <w:p>
      <w:pPr>
        <w:pStyle w:val="BodyText"/>
      </w:pPr>
      <w:r>
        <w:t xml:space="preserve">Diese paternalistische Sichtweise entlastet zwar die Programmentwickler, verkennt jedoch die strukturellen Machtasymmetrien und sozioökonomischen Realitäten, in denen Widerstand entsteht. Werden Gesundheitsprogramme lediglich als logistische Operationen begriffen, bleiben die soziopolitischen Ursachen von Ablehnung unsichtbar. Angesichts massiver Investitionen in globale Gesundheitsfonds ist das Verständnis dieser Widerstandsphänomene eine Voraussetzung für die ethische Legitimation von Community Health Systems (CHS).</w:t>
      </w:r>
    </w:p>
    <w:bookmarkEnd w:id="13"/>
    <w:bookmarkStart w:id="14" w:name="X7e20ed232028829b4d2349899891127431a23e5"/>
    <w:p>
      <w:pPr>
        <w:pStyle w:val="Heading2"/>
      </w:pPr>
      <w:r>
        <w:t xml:space="preserve">1.2 Forschungsfrage und Zielsetzung der Arbeit</w:t>
      </w:r>
    </w:p>
    <w:p>
      <w:pPr>
        <w:pStyle w:val="FirstParagraph"/>
      </w:pPr>
      <w:r>
        <w:t xml:space="preserve">Die vorliegende Arbeit bricht mit der defizitorientierten Perspektive und postuliert, dass Widerstand gegen gesundheitliche Maßnahmen ein hochrationales Feedback-Signal darstellt. Dieses weist auf einen „Lack of Fit“ zwischen der technokratischen Systemlogik der Geber und der Lebensweltlogik der Empfänger hin. Im Zentrum steht die Forschungsfrage:</w:t>
      </w:r>
    </w:p>
    <w:p>
      <w:pPr>
        <w:pStyle w:val="BodyText"/>
      </w:pPr>
      <w:r>
        <w:rPr>
          <w:b/>
          <w:bCs/>
        </w:rPr>
        <w:t xml:space="preserve">Inwiefern lässt sich der Widerstand gegen ITN-Distributionen in Uganda durch die Theorie der Biomacht nach Michel Foucault dekonstruieren, und welche diagnostischen Signale liefert dieser für eine Neugestaltung partizipativer Systeme?</w:t>
      </w:r>
    </w:p>
    <w:p>
      <w:pPr>
        <w:pStyle w:val="BodyText"/>
      </w:pPr>
      <w:r>
        <w:t xml:space="preserve">Ziel ist es, Widerstand zu entpathologisieren und aufzuzeigen, dass etwa die Zweckentfremdung von Moskitonetzten Ausdruck einer kalkulierten Agency unter prekären Bedingungen ist. Partizipation wird dabei nicht als Akzeptanzbeschaffung, sondern als epistemische Notwendigkeit verstanden.</w:t>
      </w:r>
    </w:p>
    <w:bookmarkEnd w:id="14"/>
    <w:bookmarkStart w:id="15" w:name="methodisches-vorgehen"/>
    <w:p>
      <w:pPr>
        <w:pStyle w:val="Heading2"/>
      </w:pPr>
      <w:r>
        <w:t xml:space="preserve">1.3 Methodisches Vorgehen</w:t>
      </w:r>
    </w:p>
    <w:p>
      <w:pPr>
        <w:pStyle w:val="FirstParagraph"/>
      </w:pPr>
      <w:r>
        <w:t xml:space="preserve">Die Beantwortung erfolgt mittels einer qualitativen Literaturanalyse. Hierbei werden soziologische Grundlagentexte (Foucault, Habermas, Perron) mit aktueller empirischer Evidenz der Global Health Forschung trianguliert. Das Vorgehen verbindet theoretische Machtkritik mit der Analyse quantitativer Barrierenmodelle und deren Validierung an der Fallstudie Uganda.</w:t>
      </w:r>
    </w:p>
    <w:p>
      <w:r>
        <w:pict>
          <v:rect style="width:0;height:1.5pt" o:hralign="center" o:hrstd="t" o:hr="t"/>
        </w:pict>
      </w:r>
    </w:p>
    <w:bookmarkEnd w:id="15"/>
    <w:bookmarkEnd w:id="16"/>
    <w:bookmarkStart w:id="20" w:name="theoretischer-rahmen"/>
    <w:p>
      <w:pPr>
        <w:pStyle w:val="Heading1"/>
      </w:pPr>
      <w:r>
        <w:t xml:space="preserve">2. Theoretischer Rahmen</w:t>
      </w:r>
    </w:p>
    <w:bookmarkStart w:id="17" w:name="Xfbf96715365a2758d9c897d09bdcb396309ca18"/>
    <w:p>
      <w:pPr>
        <w:pStyle w:val="Heading2"/>
      </w:pPr>
      <w:r>
        <w:t xml:space="preserve">2.1 Community Health Systems (CHS) im Global Health Kontext</w:t>
      </w:r>
    </w:p>
    <w:p>
      <w:pPr>
        <w:pStyle w:val="FirstParagraph"/>
      </w:pPr>
      <w:r>
        <w:t xml:space="preserve">CHS fungieren als hybride Strukturen an der Schnittstelle zwischen formellen Systemen und lokaler Bevölkerung. Zentrale Akteure sind die Community Health Workers (CHWs). Während die offizielle Rhetorik auf „Empowerment“ setzt, zeigt die Praxis oft eine instrumentelle Logik: Die Gemeinschaft wird zum Objekt einer Intervention degradiert, deren Erfolg an globalen Zielen wie Impfquoten gemessen wird (Kane et al. 2016). Dieses strukturelle Ungleichgewicht bildet den Nährboden für Widerstand.</w:t>
      </w:r>
    </w:p>
    <w:bookmarkEnd w:id="17"/>
    <w:bookmarkStart w:id="18" w:name="Xbca904e7d562fd3ac162bf6194d606793e35247"/>
    <w:p>
      <w:pPr>
        <w:pStyle w:val="Heading2"/>
      </w:pPr>
      <w:r>
        <w:t xml:space="preserve">2.2 Biopolitik und Machttechnologien nach Foucault</w:t>
      </w:r>
    </w:p>
    <w:p>
      <w:pPr>
        <w:pStyle w:val="FirstParagraph"/>
      </w:pPr>
      <w:r>
        <w:t xml:space="preserve">Nach Michel Foucault ist Gesundheit ein Feld der „Biomacht“ (Bio-power), die Leben verwaltet und optimiert. Perron et al. (2005) differenzieren zwei Achsen:</w:t>
      </w:r>
    </w:p>
    <w:p>
      <w:pPr>
        <w:pStyle w:val="Compact"/>
        <w:numPr>
          <w:ilvl w:val="0"/>
          <w:numId w:val="1002"/>
        </w:numPr>
      </w:pPr>
      <w:r>
        <w:rPr>
          <w:b/>
          <w:bCs/>
        </w:rPr>
        <w:t xml:space="preserve">Anatomo-Politik:</w:t>
      </w:r>
      <w:r>
        <w:t xml:space="preserve"> </w:t>
      </w:r>
      <w:r>
        <w:t xml:space="preserve">Die Disziplinierung des individuellen Körpers (docile bodies) durch Überwachung und Normierung.</w:t>
      </w:r>
    </w:p>
    <w:p>
      <w:pPr>
        <w:pStyle w:val="Compact"/>
        <w:numPr>
          <w:ilvl w:val="0"/>
          <w:numId w:val="1002"/>
        </w:numPr>
      </w:pPr>
      <w:r>
        <w:rPr>
          <w:b/>
          <w:bCs/>
        </w:rPr>
        <w:t xml:space="preserve">Biopolitik:</w:t>
      </w:r>
      <w:r>
        <w:t xml:space="preserve"> </w:t>
      </w:r>
      <w:r>
        <w:t xml:space="preserve">Das Management der Gesamtbevölkerung durch demografische und epidemiologische Daten.</w:t>
      </w:r>
      <w:r>
        <w:br/>
      </w:r>
      <w:r>
        <w:t xml:space="preserve">Widerstand ist in diesem Kontext der Versuch, sich dieser normativen Zugriffsgewalt zu entziehen.</w:t>
      </w:r>
    </w:p>
    <w:bookmarkEnd w:id="18"/>
    <w:bookmarkStart w:id="19" w:name="X6bde636ece0f40fadf8e542c9dbe7878d082b1f"/>
    <w:p>
      <w:pPr>
        <w:pStyle w:val="Heading2"/>
      </w:pPr>
      <w:r>
        <w:t xml:space="preserve">2.3 Das Konzept der Lebensweltlogik und Reaktanz</w:t>
      </w:r>
    </w:p>
    <w:p>
      <w:pPr>
        <w:pStyle w:val="FirstParagraph"/>
      </w:pPr>
      <w:r>
        <w:t xml:space="preserve">Ergänzend bietet Jürgen Habermas’ Unterscheidung zwischen „System“ und „Lebenswelt“ einen Analyseramen. Das</w:t>
      </w:r>
      <w:r>
        <w:t xml:space="preserve"> </w:t>
      </w:r>
      <w:r>
        <w:rPr>
          <w:b/>
          <w:bCs/>
        </w:rPr>
        <w:t xml:space="preserve">System</w:t>
      </w:r>
      <w:r>
        <w:t xml:space="preserve"> </w:t>
      </w:r>
      <w:r>
        <w:t xml:space="preserve">operiert zweckrational nach Effizienz und Protokollen. Die</w:t>
      </w:r>
      <w:r>
        <w:t xml:space="preserve"> </w:t>
      </w:r>
      <w:r>
        <w:rPr>
          <w:b/>
          <w:bCs/>
        </w:rPr>
        <w:t xml:space="preserve">Lebenswelt</w:t>
      </w:r>
      <w:r>
        <w:t xml:space="preserve"> </w:t>
      </w:r>
      <w:r>
        <w:t xml:space="preserve">ist der Ort des intuitiven Erfahrungswissens und sozialer Netzwerke.</w:t>
      </w:r>
    </w:p>
    <w:p>
      <w:pPr>
        <w:pStyle w:val="BodyText"/>
      </w:pPr>
      <w:r>
        <w:rPr>
          <w:b/>
          <w:bCs/>
        </w:rPr>
        <w:t xml:space="preserve">Tabelle 1: Gegenüberstellung der Logiken (nach Habermas)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Kategorie</w:t>
            </w:r>
          </w:p>
        </w:tc>
        <w:tc>
          <w:tcPr/>
          <w:p>
            <w:pPr>
              <w:pStyle w:val="Compact"/>
              <w:jc w:val="left"/>
            </w:pPr>
            <w:r>
              <w:t xml:space="preserve">System-Logik (Top-Down)</w:t>
            </w:r>
          </w:p>
        </w:tc>
        <w:tc>
          <w:tcPr/>
          <w:p>
            <w:pPr>
              <w:pStyle w:val="Compact"/>
              <w:jc w:val="left"/>
            </w:pPr>
            <w:r>
              <w:t xml:space="preserve">Lebenswelt-Logik (Bottom-Up)</w:t>
            </w:r>
          </w:p>
        </w:tc>
      </w:tr>
      <w:tr>
        <w:tc>
          <w:tcPr/>
          <w:p>
            <w:pPr>
              <w:pStyle w:val="Compact"/>
              <w:jc w:val="left"/>
            </w:pPr>
            <w:r>
              <w:rPr>
                <w:b/>
                <w:bCs/>
              </w:rPr>
              <w:t xml:space="preserve">Primäres Ziel</w:t>
            </w:r>
          </w:p>
        </w:tc>
        <w:tc>
          <w:tcPr/>
          <w:p>
            <w:pPr>
              <w:pStyle w:val="Compact"/>
              <w:jc w:val="left"/>
            </w:pPr>
            <w:r>
              <w:t xml:space="preserve">Statistische Risikominimierung</w:t>
            </w:r>
          </w:p>
        </w:tc>
        <w:tc>
          <w:tcPr/>
          <w:p>
            <w:pPr>
              <w:pStyle w:val="Compact"/>
              <w:jc w:val="left"/>
            </w:pPr>
            <w:r>
              <w:t xml:space="preserve">Akute Existenzsicherung</w:t>
            </w:r>
          </w:p>
        </w:tc>
      </w:tr>
      <w:tr>
        <w:tc>
          <w:tcPr/>
          <w:p>
            <w:pPr>
              <w:pStyle w:val="Compact"/>
              <w:jc w:val="left"/>
            </w:pPr>
            <w:r>
              <w:rPr>
                <w:b/>
                <w:bCs/>
              </w:rPr>
              <w:t xml:space="preserve">Zeithorizont</w:t>
            </w:r>
          </w:p>
        </w:tc>
        <w:tc>
          <w:tcPr/>
          <w:p>
            <w:pPr>
              <w:pStyle w:val="Compact"/>
              <w:jc w:val="left"/>
            </w:pPr>
            <w:r>
              <w:t xml:space="preserve">Zukunft (Prävention)</w:t>
            </w:r>
          </w:p>
        </w:tc>
        <w:tc>
          <w:tcPr/>
          <w:p>
            <w:pPr>
              <w:pStyle w:val="Compact"/>
              <w:jc w:val="left"/>
            </w:pPr>
            <w:r>
              <w:t xml:space="preserve">Gegenwart (Überleben heute)</w:t>
            </w:r>
          </w:p>
        </w:tc>
      </w:tr>
      <w:tr>
        <w:tc>
          <w:tcPr/>
          <w:p>
            <w:pPr>
              <w:pStyle w:val="Compact"/>
              <w:jc w:val="left"/>
            </w:pPr>
            <w:r>
              <w:rPr>
                <w:b/>
                <w:bCs/>
              </w:rPr>
              <w:t xml:space="preserve">Wissenstyp</w:t>
            </w:r>
          </w:p>
        </w:tc>
        <w:tc>
          <w:tcPr/>
          <w:p>
            <w:pPr>
              <w:pStyle w:val="Compact"/>
              <w:jc w:val="left"/>
            </w:pPr>
            <w:r>
              <w:t xml:space="preserve">Biomedizinisch, quantitativ</w:t>
            </w:r>
          </w:p>
        </w:tc>
        <w:tc>
          <w:tcPr/>
          <w:p>
            <w:pPr>
              <w:pStyle w:val="Compact"/>
              <w:jc w:val="left"/>
            </w:pPr>
            <w:r>
              <w:t xml:space="preserve">Pragmatisch, erfahrungsbasiert</w:t>
            </w:r>
          </w:p>
        </w:tc>
      </w:tr>
      <w:tr>
        <w:tc>
          <w:tcPr/>
          <w:p>
            <w:pPr>
              <w:pStyle w:val="Compact"/>
              <w:jc w:val="left"/>
            </w:pPr>
            <w:r>
              <w:rPr>
                <w:b/>
                <w:bCs/>
              </w:rPr>
              <w:t xml:space="preserve">Wahrnehmung</w:t>
            </w:r>
          </w:p>
        </w:tc>
        <w:tc>
          <w:tcPr/>
          <w:p>
            <w:pPr>
              <w:pStyle w:val="Compact"/>
              <w:jc w:val="left"/>
            </w:pPr>
            <w:r>
              <w:t xml:space="preserve">Mensch als Datenträger</w:t>
            </w:r>
          </w:p>
        </w:tc>
        <w:tc>
          <w:tcPr/>
          <w:p>
            <w:pPr>
              <w:pStyle w:val="Compact"/>
              <w:jc w:val="left"/>
            </w:pPr>
            <w:r>
              <w:t xml:space="preserve">Mensch als handelndes Subjekt</w:t>
            </w:r>
          </w:p>
        </w:tc>
      </w:tr>
    </w:tbl>
    <w:p>
      <w:pPr>
        <w:pStyle w:val="BodyText"/>
      </w:pPr>
      <w:r>
        <w:t xml:space="preserve">Ein „Lack of Fit“ entsteht, wenn Systemimperative die Lebenswelt kolonialisieren (Habermas). Psychologisch reagiert die Bevölkerung mit</w:t>
      </w:r>
      <w:r>
        <w:t xml:space="preserve"> </w:t>
      </w:r>
      <w:r>
        <w:rPr>
          <w:b/>
          <w:bCs/>
        </w:rPr>
        <w:t xml:space="preserve">Reaktanz</w:t>
      </w:r>
      <w:r>
        <w:t xml:space="preserve">: Die bedrohte Handlungsautonomie wird durch Widerstand verteidigt, was das Scheitern der Systemlogik signalisiert, lokale Komplexitäten zu integrieren.</w:t>
      </w:r>
    </w:p>
    <w:p>
      <w:r>
        <w:pict>
          <v:rect style="width:0;height:1.5pt" o:hralign="center" o:hrstd="t" o:hr="t"/>
        </w:pict>
      </w:r>
    </w:p>
    <w:bookmarkEnd w:id="19"/>
    <w:bookmarkEnd w:id="20"/>
    <w:bookmarkStart w:id="24" w:name="machtasymmetrien-in-chs"/>
    <w:p>
      <w:pPr>
        <w:pStyle w:val="Heading1"/>
      </w:pPr>
      <w:r>
        <w:t xml:space="preserve">3. Machtasymmetrien in CHS</w:t>
      </w:r>
    </w:p>
    <w:bookmarkStart w:id="21" w:name="agents-of-care-vs.-agents-of-the-state"/>
    <w:p>
      <w:pPr>
        <w:pStyle w:val="Heading2"/>
      </w:pPr>
      <w:r>
        <w:t xml:space="preserve">3.1 Agents of Care vs. Agents of the State</w:t>
      </w:r>
    </w:p>
    <w:p>
      <w:pPr>
        <w:pStyle w:val="FirstParagraph"/>
      </w:pPr>
      <w:r>
        <w:t xml:space="preserve">In der Global-Health-Rhetorik werden CHWs als „Health Heroes“ gefeiert. Aus der Perspektive von Perron et al. (2005) offenbart sich jedoch eine Rollenambivalenz: Der intendierte</w:t>
      </w:r>
      <w:r>
        <w:t xml:space="preserve"> </w:t>
      </w:r>
      <w:r>
        <w:rPr>
          <w:b/>
          <w:bCs/>
        </w:rPr>
        <w:t xml:space="preserve">Agent of Care</w:t>
      </w:r>
      <w:r>
        <w:t xml:space="preserve"> </w:t>
      </w:r>
      <w:r>
        <w:t xml:space="preserve">transformiert sich für die Bevölkerung oft in einen</w:t>
      </w:r>
      <w:r>
        <w:t xml:space="preserve"> </w:t>
      </w:r>
      <w:r>
        <w:rPr>
          <w:b/>
          <w:bCs/>
        </w:rPr>
        <w:t xml:space="preserve">Agent of the State</w:t>
      </w:r>
      <w:r>
        <w:t xml:space="preserve">. Wo der Staat ansonsten durch Abwesenheit glänzt, wird der CHW zum Symbol staatlicher Übergriffigkeit und Disziplinierung.</w:t>
      </w:r>
    </w:p>
    <w:p>
      <w:pPr>
        <w:pStyle w:val="BodyText"/>
      </w:pPr>
      <w:r>
        <w:rPr>
          <w:b/>
          <w:bCs/>
        </w:rPr>
        <w:t xml:space="preserve">Tabelle 2: Die Rollenambivalenz der CHWs (nach Perron et al. 2005)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Merkmal</w:t>
            </w:r>
          </w:p>
        </w:tc>
        <w:tc>
          <w:tcPr/>
          <w:p>
            <w:pPr>
              <w:pStyle w:val="Compact"/>
              <w:jc w:val="left"/>
            </w:pPr>
            <w:r>
              <w:t xml:space="preserve">Agent of Care (Selbstbild)</w:t>
            </w:r>
          </w:p>
        </w:tc>
        <w:tc>
          <w:tcPr/>
          <w:p>
            <w:pPr>
              <w:pStyle w:val="Compact"/>
              <w:jc w:val="left"/>
            </w:pPr>
            <w:r>
              <w:t xml:space="preserve">Agent of the State (Fremdbild)</w:t>
            </w:r>
          </w:p>
        </w:tc>
      </w:tr>
      <w:tr>
        <w:tc>
          <w:tcPr/>
          <w:p>
            <w:pPr>
              <w:pStyle w:val="Compact"/>
              <w:jc w:val="left"/>
            </w:pPr>
            <w:r>
              <w:rPr>
                <w:b/>
                <w:bCs/>
              </w:rPr>
              <w:t xml:space="preserve">Funktion</w:t>
            </w:r>
          </w:p>
        </w:tc>
        <w:tc>
          <w:tcPr/>
          <w:p>
            <w:pPr>
              <w:pStyle w:val="Compact"/>
              <w:jc w:val="left"/>
            </w:pPr>
            <w:r>
              <w:t xml:space="preserve">Unterstützung, Heilung</w:t>
            </w:r>
          </w:p>
        </w:tc>
        <w:tc>
          <w:tcPr/>
          <w:p>
            <w:pPr>
              <w:pStyle w:val="Compact"/>
              <w:jc w:val="left"/>
            </w:pPr>
            <w:r>
              <w:t xml:space="preserve">Überwachung, Disziplinierung</w:t>
            </w:r>
          </w:p>
        </w:tc>
      </w:tr>
      <w:tr>
        <w:tc>
          <w:tcPr/>
          <w:p>
            <w:pPr>
              <w:pStyle w:val="Compact"/>
              <w:jc w:val="left"/>
            </w:pPr>
            <w:r>
              <w:rPr>
                <w:b/>
                <w:bCs/>
              </w:rPr>
              <w:t xml:space="preserve">Werkzeug</w:t>
            </w:r>
          </w:p>
        </w:tc>
        <w:tc>
          <w:tcPr/>
          <w:p>
            <w:pPr>
              <w:pStyle w:val="Compact"/>
              <w:jc w:val="left"/>
            </w:pPr>
            <w:r>
              <w:t xml:space="preserve">Beratung, Behandlung</w:t>
            </w:r>
          </w:p>
        </w:tc>
        <w:tc>
          <w:tcPr/>
          <w:p>
            <w:pPr>
              <w:pStyle w:val="Compact"/>
              <w:jc w:val="left"/>
            </w:pPr>
            <w:r>
              <w:t xml:space="preserve">Tablets, Uniform, Datenerfassung</w:t>
            </w:r>
          </w:p>
        </w:tc>
      </w:tr>
      <w:tr>
        <w:tc>
          <w:tcPr/>
          <w:p>
            <w:pPr>
              <w:pStyle w:val="Compact"/>
              <w:jc w:val="left"/>
            </w:pPr>
            <w:r>
              <w:rPr>
                <w:b/>
                <w:bCs/>
              </w:rPr>
              <w:t xml:space="preserve">Machtform</w:t>
            </w:r>
          </w:p>
        </w:tc>
        <w:tc>
          <w:tcPr/>
          <w:p>
            <w:pPr>
              <w:pStyle w:val="Compact"/>
              <w:jc w:val="left"/>
            </w:pPr>
            <w:r>
              <w:t xml:space="preserve">Pastorale Macht (Fürsorge)</w:t>
            </w:r>
          </w:p>
        </w:tc>
        <w:tc>
          <w:tcPr/>
          <w:p>
            <w:pPr>
              <w:pStyle w:val="Compact"/>
              <w:jc w:val="left"/>
            </w:pPr>
            <w:r>
              <w:t xml:space="preserve">Biomacht (Normalisierung)</w:t>
            </w:r>
          </w:p>
        </w:tc>
      </w:tr>
    </w:tbl>
    <w:bookmarkEnd w:id="21"/>
    <w:bookmarkStart w:id="22" w:name="epistemische-ungerechtigkeit"/>
    <w:p>
      <w:pPr>
        <w:pStyle w:val="Heading2"/>
      </w:pPr>
      <w:r>
        <w:t xml:space="preserve">3.2 Epistemische Ungerechtigkeit</w:t>
      </w:r>
    </w:p>
    <w:p>
      <w:pPr>
        <w:pStyle w:val="FirstParagraph"/>
      </w:pPr>
      <w:r>
        <w:t xml:space="preserve">Ein subtiler Machtfaktor ist die Abwertung lokalen Wissens gegenüber der biomedizinischen Epistemologie. Dieser „Epistemizid“ marginalisiert erfahrungsbasierte Deutungsmuster als „unwissenschaftlich“. Widerstand fungiert hier als Abwehrmechanismus, um die kulturelle Identität und Deutungshoheit über das eigene Leben zu wahren.</w:t>
      </w:r>
    </w:p>
    <w:bookmarkEnd w:id="22"/>
    <w:bookmarkStart w:id="23" w:name="digitale-überwachung-und-mortifikation"/>
    <w:p>
      <w:pPr>
        <w:pStyle w:val="Heading2"/>
      </w:pPr>
      <w:r>
        <w:t xml:space="preserve">3.3 Digitale Überwachung und Mortifikation</w:t>
      </w:r>
    </w:p>
    <w:p>
      <w:pPr>
        <w:pStyle w:val="FirstParagraph"/>
      </w:pPr>
      <w:r>
        <w:t xml:space="preserve">Die technologische Aufrüstung der CHS durch mHealth-Lösungen verschärft diese Asymmetrie. Wenn der CHW den privaten Wohnraum betritt und Lebensdaten in ein Tablet einspeist, findet eine Form der</w:t>
      </w:r>
      <w:r>
        <w:t xml:space="preserve"> </w:t>
      </w:r>
      <w:r>
        <w:rPr>
          <w:b/>
          <w:bCs/>
        </w:rPr>
        <w:t xml:space="preserve">Daten-Mortifikation</w:t>
      </w:r>
      <w:r>
        <w:t xml:space="preserve"> </w:t>
      </w:r>
      <w:r>
        <w:t xml:space="preserve">(in Anlehnung an Goffman) statt. Das Individuum wird seiner biografischen Einzigartigkeit beraubt und in standardisierte Datenpunkte transformiert. Die digitale Erfassung fungiert als disziplinierende Technologie, die den Haushalt in eine quasi-totale Institution verwandelt: Der Bewohner wird zum Objekt der Überwachung, dessen Agency hinter der statistischen Norm verschwindet.</w:t>
      </w:r>
    </w:p>
    <w:p>
      <w:r>
        <w:pict>
          <v:rect style="width:0;height:1.5pt" o:hralign="center" o:hrstd="t" o:hr="t"/>
        </w:pict>
      </w:r>
    </w:p>
    <w:bookmarkEnd w:id="23"/>
    <w:bookmarkEnd w:id="24"/>
    <w:bookmarkStart w:id="28" w:name="X335da26512fc1efc7b917fb4108ebda6b92ad26"/>
    <w:p>
      <w:pPr>
        <w:pStyle w:val="Heading1"/>
      </w:pPr>
      <w:r>
        <w:t xml:space="preserve">4. Widerstand als diagnostisches Feedback-Instrument</w:t>
      </w:r>
    </w:p>
    <w:bookmarkStart w:id="25" w:name="dekonstruktion-der-non-compliance"/>
    <w:p>
      <w:pPr>
        <w:pStyle w:val="Heading2"/>
      </w:pPr>
      <w:r>
        <w:t xml:space="preserve">4.1 Dekonstruktion der „Non-Compliance“</w:t>
      </w:r>
    </w:p>
    <w:p>
      <w:pPr>
        <w:pStyle w:val="FirstParagraph"/>
      </w:pPr>
      <w:r>
        <w:t xml:space="preserve">Der Begriff der „Non-Compliance“ ist eine analytische Sackgasse. Er pathologisiert Verhalten und entlastet Programmentwickler von Selbstkritik. Widerstand sollte stattdessen als Ausdruck von</w:t>
      </w:r>
      <w:r>
        <w:t xml:space="preserve"> </w:t>
      </w:r>
      <w:r>
        <w:rPr>
          <w:b/>
          <w:bCs/>
        </w:rPr>
        <w:t xml:space="preserve">Agency</w:t>
      </w:r>
      <w:r>
        <w:t xml:space="preserve"> </w:t>
      </w:r>
      <w:r>
        <w:t xml:space="preserve">begriffen werden – die Fähigkeit, innerhalb prekärer Strukturen Entscheidungen zu treffen, die der eigenen Lebensweltlogik dienen.</w:t>
      </w:r>
    </w:p>
    <w:bookmarkEnd w:id="25"/>
    <w:bookmarkStart w:id="26" w:name="X6608f103b7269b53c277fb2462532ecada7a292"/>
    <w:p>
      <w:pPr>
        <w:pStyle w:val="Heading2"/>
      </w:pPr>
      <w:r>
        <w:t xml:space="preserve">4.2 Widerstand als Indikator für den „Lack of Fit“</w:t>
      </w:r>
    </w:p>
    <w:p>
      <w:pPr>
        <w:pStyle w:val="FirstParagraph"/>
      </w:pPr>
      <w:r>
        <w:t xml:space="preserve">Entpathologisiert transformiert sich Widerstand in ein präzises Datensignal für einen „Lack of Fit“. Er zeigt an, wo die Systemlogik die Verbindung zur Realität verloren hat (ökonomisch, soziokulturell oder machtpolitisch).</w:t>
      </w:r>
    </w:p>
    <w:p>
      <w:pPr>
        <w:pStyle w:val="BodyText"/>
      </w:pPr>
      <w:r>
        <w:rPr>
          <w:b/>
          <w:bCs/>
        </w:rPr>
        <w:t xml:space="preserve">Visualisierung: Der diagnostische Feedback-Zirkel</w:t>
      </w:r>
    </w:p>
    <w:p>
      <w:pPr>
        <w:pStyle w:val="SourceCode"/>
      </w:pPr>
      <w:r>
        <w:rPr>
          <w:rStyle w:val="VerbatimChar"/>
        </w:rPr>
        <w:t xml:space="preserve">       [ 1. INTERVENTION ] -&gt; [ 2. LACK OF FIT ] -&gt; [ 3. WIDERSTAND ]</w:t>
      </w:r>
      <w:r>
        <w:br/>
      </w:r>
      <w:r>
        <w:rPr>
          <w:rStyle w:val="VerbatimChar"/>
        </w:rPr>
        <w:t xml:space="preserve">                                                        |</w:t>
      </w:r>
      <w:r>
        <w:br/>
      </w:r>
      <w:r>
        <w:rPr>
          <w:rStyle w:val="VerbatimChar"/>
        </w:rPr>
        <w:t xml:space="preserve">       [ 5. ADAPTATION ]   &lt;- [ 4. SIGNAL-ANALYSE ] &lt;--- </w:t>
      </w:r>
    </w:p>
    <w:bookmarkEnd w:id="26"/>
    <w:bookmarkStart w:id="27" w:name="X3b11497e54e33a94de7d4cc890bc16cce621925"/>
    <w:p>
      <w:pPr>
        <w:pStyle w:val="Heading2"/>
      </w:pPr>
      <w:r>
        <w:t xml:space="preserve">4.3 Statistische Evidenz (Mahmoodi et al. 2023)</w:t>
      </w:r>
    </w:p>
    <w:p>
      <w:pPr>
        <w:pStyle w:val="FirstParagraph"/>
      </w:pPr>
      <w:r>
        <w:t xml:space="preserve">Mahmoodi et al. belegen, dass Widerstand primär strukturell bedingt ist. Ihr Faktorenmodell erklärt 57% der Gesamtvarianz:</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Rang</w:t>
            </w:r>
          </w:p>
        </w:tc>
        <w:tc>
          <w:tcPr/>
          <w:p>
            <w:pPr>
              <w:pStyle w:val="Compact"/>
              <w:jc w:val="left"/>
            </w:pPr>
            <w:r>
              <w:t xml:space="preserve">Faktor</w:t>
            </w:r>
          </w:p>
        </w:tc>
        <w:tc>
          <w:tcPr/>
          <w:p>
            <w:pPr>
              <w:pStyle w:val="Compact"/>
              <w:jc w:val="left"/>
            </w:pPr>
            <w:r>
              <w:t xml:space="preserve">Erklärte Varianz</w:t>
            </w:r>
          </w:p>
        </w:tc>
        <w:tc>
          <w:tcPr/>
          <w:p>
            <w:pPr>
              <w:pStyle w:val="Compact"/>
              <w:jc w:val="left"/>
            </w:pPr>
            <w:r>
              <w:t xml:space="preserve">Kern-Aussage</w:t>
            </w:r>
          </w:p>
        </w:tc>
      </w:tr>
      <w:tr>
        <w:tc>
          <w:tcPr/>
          <w:p>
            <w:pPr>
              <w:pStyle w:val="Compact"/>
              <w:jc w:val="left"/>
            </w:pPr>
            <w:r>
              <w:rPr>
                <w:b/>
                <w:bCs/>
              </w:rPr>
              <w:t xml:space="preserve">1</w:t>
            </w:r>
          </w:p>
        </w:tc>
        <w:tc>
          <w:tcPr/>
          <w:p>
            <w:pPr>
              <w:pStyle w:val="Compact"/>
              <w:jc w:val="left"/>
            </w:pPr>
            <w:r>
              <w:rPr>
                <w:b/>
                <w:bCs/>
              </w:rPr>
              <w:t xml:space="preserve">Institutionelles Misstrauen</w:t>
            </w:r>
          </w:p>
        </w:tc>
        <w:tc>
          <w:tcPr/>
          <w:p>
            <w:pPr>
              <w:pStyle w:val="Compact"/>
              <w:jc w:val="left"/>
            </w:pPr>
            <w:r>
              <w:rPr>
                <w:b/>
                <w:bCs/>
              </w:rPr>
              <w:t xml:space="preserve">28%</w:t>
            </w:r>
          </w:p>
        </w:tc>
        <w:tc>
          <w:tcPr/>
          <w:p>
            <w:pPr>
              <w:pStyle w:val="Compact"/>
              <w:jc w:val="left"/>
            </w:pPr>
            <w:r>
              <w:t xml:space="preserve">Staatliches Handeln ist das Hauptproblem.</w:t>
            </w:r>
          </w:p>
        </w:tc>
      </w:tr>
      <w:tr>
        <w:tc>
          <w:tcPr/>
          <w:p>
            <w:pPr>
              <w:pStyle w:val="Compact"/>
              <w:jc w:val="left"/>
            </w:pPr>
            <w:r>
              <w:rPr>
                <w:b/>
                <w:bCs/>
              </w:rPr>
              <w:t xml:space="preserve">2</w:t>
            </w:r>
          </w:p>
        </w:tc>
        <w:tc>
          <w:tcPr/>
          <w:p>
            <w:pPr>
              <w:pStyle w:val="Compact"/>
              <w:jc w:val="left"/>
            </w:pPr>
            <w:r>
              <w:t xml:space="preserve">Programm-Design / Anreize</w:t>
            </w:r>
          </w:p>
        </w:tc>
        <w:tc>
          <w:tcPr/>
          <w:p>
            <w:pPr>
              <w:pStyle w:val="Compact"/>
              <w:jc w:val="left"/>
            </w:pPr>
            <w:r>
              <w:t xml:space="preserve">8%</w:t>
            </w:r>
          </w:p>
        </w:tc>
        <w:tc>
          <w:tcPr/>
          <w:p>
            <w:pPr>
              <w:pStyle w:val="Compact"/>
              <w:jc w:val="left"/>
            </w:pPr>
            <w:r>
              <w:t xml:space="preserve">Mangelnder ökonomischer Nutzen.</w:t>
            </w:r>
          </w:p>
        </w:tc>
      </w:tr>
      <w:tr>
        <w:tc>
          <w:tcPr/>
          <w:p>
            <w:pPr>
              <w:pStyle w:val="Compact"/>
              <w:jc w:val="left"/>
            </w:pPr>
            <w:r>
              <w:rPr>
                <w:b/>
                <w:bCs/>
              </w:rPr>
              <w:t xml:space="preserve">3</w:t>
            </w:r>
          </w:p>
        </w:tc>
        <w:tc>
          <w:tcPr/>
          <w:p>
            <w:pPr>
              <w:pStyle w:val="Compact"/>
              <w:jc w:val="left"/>
            </w:pPr>
            <w:r>
              <w:t xml:space="preserve">Management-Skills</w:t>
            </w:r>
          </w:p>
        </w:tc>
        <w:tc>
          <w:tcPr/>
          <w:p>
            <w:pPr>
              <w:pStyle w:val="Compact"/>
              <w:jc w:val="left"/>
            </w:pPr>
            <w:r>
              <w:t xml:space="preserve">8%</w:t>
            </w:r>
          </w:p>
        </w:tc>
        <w:tc>
          <w:tcPr/>
          <w:p>
            <w:pPr>
              <w:pStyle w:val="Compact"/>
              <w:jc w:val="left"/>
            </w:pPr>
            <w:r>
              <w:t xml:space="preserve">Fehlende Koordination.</w:t>
            </w:r>
          </w:p>
        </w:tc>
      </w:tr>
    </w:tbl>
    <w:p>
      <w:pPr>
        <w:pStyle w:val="BodyText"/>
      </w:pPr>
      <w:r>
        <w:t xml:space="preserve">Dass 28% der Barrieren auf Misstrauen basieren, zeigt: Widerstand ist eine rationale politische Reaktion auf ein unzuverlässiges System.</w:t>
      </w:r>
    </w:p>
    <w:p>
      <w:r>
        <w:pict>
          <v:rect style="width:0;height:1.5pt" o:hralign="center" o:hrstd="t" o:hr="t"/>
        </w:pict>
      </w:r>
    </w:p>
    <w:bookmarkEnd w:id="27"/>
    <w:bookmarkEnd w:id="28"/>
    <w:bookmarkStart w:id="31" w:name="fallstudie-itn-distribution-in-uganda"/>
    <w:p>
      <w:pPr>
        <w:pStyle w:val="Heading1"/>
      </w:pPr>
      <w:r>
        <w:t xml:space="preserve">5. Fallstudie: ITN-Distribution in Uganda</w:t>
      </w:r>
    </w:p>
    <w:bookmarkStart w:id="29" w:name="die-ökonomische-realität-am-victoriasee"/>
    <w:p>
      <w:pPr>
        <w:pStyle w:val="Heading2"/>
      </w:pPr>
      <w:r>
        <w:t xml:space="preserve">5.1 Die ökonomische Realität am Victoriasee</w:t>
      </w:r>
    </w:p>
    <w:p>
      <w:pPr>
        <w:pStyle w:val="FirstParagraph"/>
      </w:pPr>
      <w:r>
        <w:t xml:space="preserve">Am Victoriasee kollidiert die</w:t>
      </w:r>
      <w:r>
        <w:t xml:space="preserve"> </w:t>
      </w:r>
      <w:r>
        <w:rPr>
          <w:b/>
          <w:bCs/>
        </w:rPr>
        <w:t xml:space="preserve">anatomo-politische Zielsetzung</w:t>
      </w:r>
      <w:r>
        <w:t xml:space="preserve"> </w:t>
      </w:r>
      <w:r>
        <w:t xml:space="preserve">der Geber (der disziplinierte, unter dem Netz schlafende Körper) frontal mit der</w:t>
      </w:r>
      <w:r>
        <w:t xml:space="preserve"> </w:t>
      </w:r>
      <w:r>
        <w:rPr>
          <w:b/>
          <w:bCs/>
        </w:rPr>
        <w:t xml:space="preserve">lebensweltlichen Überlebensrationalität</w:t>
      </w:r>
      <w:r>
        <w:t xml:space="preserve">.</w:t>
      </w:r>
    </w:p>
    <w:p>
      <w:pPr>
        <w:pStyle w:val="BodyText"/>
      </w:pPr>
      <w:r>
        <w:rPr>
          <w:b/>
          <w:bCs/>
        </w:rPr>
        <w:t xml:space="preserve">Tabelle 3: Kosten-Nutzen-Analyse des Fischers (Uganda)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Faktor</w:t>
            </w:r>
          </w:p>
        </w:tc>
        <w:tc>
          <w:tcPr/>
          <w:p>
            <w:pPr>
              <w:pStyle w:val="Compact"/>
              <w:jc w:val="left"/>
            </w:pPr>
            <w:r>
              <w:t xml:space="preserve">Perspektive Global Health</w:t>
            </w:r>
          </w:p>
        </w:tc>
        <w:tc>
          <w:tcPr/>
          <w:p>
            <w:pPr>
              <w:pStyle w:val="Compact"/>
              <w:jc w:val="left"/>
            </w:pPr>
            <w:r>
              <w:t xml:space="preserve">Perspektive Fischer (Uganda)</w:t>
            </w:r>
          </w:p>
        </w:tc>
      </w:tr>
      <w:tr>
        <w:tc>
          <w:tcPr/>
          <w:p>
            <w:pPr>
              <w:pStyle w:val="Compact"/>
              <w:jc w:val="left"/>
            </w:pPr>
            <w:r>
              <w:rPr>
                <w:b/>
                <w:bCs/>
              </w:rPr>
              <w:t xml:space="preserve">Ressource</w:t>
            </w:r>
          </w:p>
        </w:tc>
        <w:tc>
          <w:tcPr/>
          <w:p>
            <w:pPr>
              <w:pStyle w:val="Compact"/>
              <w:jc w:val="left"/>
            </w:pPr>
            <w:r>
              <w:t xml:space="preserve">Moskitonetz (Prävention)</w:t>
            </w:r>
          </w:p>
        </w:tc>
        <w:tc>
          <w:tcPr/>
          <w:p>
            <w:pPr>
              <w:pStyle w:val="Compact"/>
              <w:jc w:val="left"/>
            </w:pPr>
            <w:r>
              <w:t xml:space="preserve">Moskitonetz (Produktionsmittel)</w:t>
            </w:r>
          </w:p>
        </w:tc>
      </w:tr>
      <w:tr>
        <w:tc>
          <w:tcPr/>
          <w:p>
            <w:pPr>
              <w:pStyle w:val="Compact"/>
              <w:jc w:val="left"/>
            </w:pPr>
            <w:r>
              <w:rPr>
                <w:b/>
                <w:bCs/>
              </w:rPr>
              <w:t xml:space="preserve">Bedrohung</w:t>
            </w:r>
          </w:p>
        </w:tc>
        <w:tc>
          <w:tcPr/>
          <w:p>
            <w:pPr>
              <w:pStyle w:val="Compact"/>
              <w:jc w:val="left"/>
            </w:pPr>
            <w:r>
              <w:t xml:space="preserve">Malaria (abstrakt/zukünftig)</w:t>
            </w:r>
          </w:p>
        </w:tc>
        <w:tc>
          <w:tcPr/>
          <w:p>
            <w:pPr>
              <w:pStyle w:val="Compact"/>
              <w:jc w:val="left"/>
            </w:pPr>
            <w:r>
              <w:t xml:space="preserve">Hunger (konkret/unmittelbar)</w:t>
            </w:r>
          </w:p>
        </w:tc>
      </w:tr>
      <w:tr>
        <w:tc>
          <w:tcPr/>
          <w:p>
            <w:pPr>
              <w:pStyle w:val="Compact"/>
              <w:jc w:val="left"/>
            </w:pPr>
            <w:r>
              <w:rPr>
                <w:b/>
                <w:bCs/>
              </w:rPr>
              <w:t xml:space="preserve">Bewertung</w:t>
            </w:r>
          </w:p>
        </w:tc>
        <w:tc>
          <w:tcPr/>
          <w:p>
            <w:pPr>
              <w:pStyle w:val="Compact"/>
              <w:jc w:val="left"/>
            </w:pPr>
            <w:r>
              <w:t xml:space="preserve">Irrationales Verhalten</w:t>
            </w:r>
          </w:p>
        </w:tc>
        <w:tc>
          <w:tcPr/>
          <w:p>
            <w:pPr>
              <w:pStyle w:val="Compact"/>
              <w:jc w:val="left"/>
            </w:pPr>
            <w:r>
              <w:t xml:space="preserve">Rationale Überlebensstrategie</w:t>
            </w:r>
          </w:p>
        </w:tc>
      </w:tr>
    </w:tbl>
    <w:bookmarkEnd w:id="29"/>
    <w:bookmarkStart w:id="30" w:name="X3fd6d9e6d645c54f437d83b5eca9b75a2f58ee1"/>
    <w:p>
      <w:pPr>
        <w:pStyle w:val="Heading2"/>
      </w:pPr>
      <w:r>
        <w:t xml:space="preserve">5.2 Der „Lack of Fit“: Taktische Repolitisierung von Ressourcen</w:t>
      </w:r>
    </w:p>
    <w:p>
      <w:pPr>
        <w:pStyle w:val="FirstParagraph"/>
      </w:pPr>
      <w:r>
        <w:t xml:space="preserve">Die Zweckentfremdung des Netzes zum Fischfang ist kein technisches Versagen, sondern eine</w:t>
      </w:r>
      <w:r>
        <w:t xml:space="preserve"> </w:t>
      </w:r>
      <w:r>
        <w:rPr>
          <w:b/>
          <w:bCs/>
        </w:rPr>
        <w:t xml:space="preserve">taktische Repolitisierung</w:t>
      </w:r>
      <w:r>
        <w:t xml:space="preserve"> </w:t>
      </w:r>
      <w:r>
        <w:t xml:space="preserve">der Ressource. Indem der Fischer das Netz umwidmet, entzieht er seinen Körper der biopolitischen Zugriffsgewalt und nutzt das Systeminstrument zur Deckung basaler Bedürfnisse. Der „Lack of Fit“ ist hier die Ignoranz des Systems gegenüber der Tatsache, dass Gesundheit ohne ökonomische Souveränität ein abstraktes Konstrukt bleibt. Widerstand ist das Fieberthermometer einer Politik, die Netze gegen Mücken gibt, wo Netze zum Überleben fehlen.</w:t>
      </w:r>
    </w:p>
    <w:p>
      <w:r>
        <w:pict>
          <v:rect style="width:0;height:1.5pt" o:hralign="center" o:hrstd="t" o:hr="t"/>
        </w:pict>
      </w:r>
    </w:p>
    <w:bookmarkEnd w:id="30"/>
    <w:bookmarkEnd w:id="31"/>
    <w:bookmarkStart w:id="34" w:name="diskussion-und-handlungsempfehlungen"/>
    <w:p>
      <w:pPr>
        <w:pStyle w:val="Heading1"/>
      </w:pPr>
      <w:r>
        <w:t xml:space="preserve">6. Diskussion und Handlungsempfehlungen</w:t>
      </w:r>
    </w:p>
    <w:bookmarkStart w:id="32" w:name="Xffec229f5fa28dbe401d6a6315295524220efbc"/>
    <w:p>
      <w:pPr>
        <w:pStyle w:val="Heading2"/>
      </w:pPr>
      <w:r>
        <w:t xml:space="preserve">6.1 Von der Edukation zur systemischen Adaptation</w:t>
      </w:r>
    </w:p>
    <w:p>
      <w:pPr>
        <w:pStyle w:val="FirstParagraph"/>
      </w:pPr>
      <w:r>
        <w:t xml:space="preserve">Ausschlaggebend ist hierbei: Wissen löst keine Strukturprobleme. Rein edukative Ansätze zielen oft nur auf Normalisierung ab. Die korrekte Antwort auf Widerstand ist nicht die Umkehr des Patienten, sondern die</w:t>
      </w:r>
      <w:r>
        <w:t xml:space="preserve"> </w:t>
      </w:r>
      <w:r>
        <w:rPr>
          <w:b/>
          <w:bCs/>
        </w:rPr>
        <w:t xml:space="preserve">systemische Adaptation</w:t>
      </w:r>
      <w:r>
        <w:t xml:space="preserve"> </w:t>
      </w:r>
      <w:r>
        <w:t xml:space="preserve">an die Social Determinants of Health.</w:t>
      </w:r>
    </w:p>
    <w:bookmarkEnd w:id="32"/>
    <w:bookmarkStart w:id="33" w:name="X54655af49197cf6088ab60fc3dd22b13c9186fd"/>
    <w:p>
      <w:pPr>
        <w:pStyle w:val="Heading2"/>
      </w:pPr>
      <w:r>
        <w:t xml:space="preserve">6.2 Messbarkeit von Co-Creation jenseits quantitativer KPIs</w:t>
      </w:r>
    </w:p>
    <w:p>
      <w:pPr>
        <w:pStyle w:val="FirstParagraph"/>
      </w:pPr>
      <w:r>
        <w:t xml:space="preserve">Um den Erfolg von Co-Creation zu evaluieren, ohne in die kritisierte Logik von KPIs zurückzufallen, bedarf es einer Umorientierung hin zu</w:t>
      </w:r>
      <w:r>
        <w:t xml:space="preserve"> </w:t>
      </w:r>
      <w:r>
        <w:rPr>
          <w:b/>
          <w:bCs/>
        </w:rPr>
        <w:t xml:space="preserve">narrativen Impact-Indikatoren</w:t>
      </w:r>
      <w:r>
        <w:t xml:space="preserve">. Statt Netze zu zählen, sollte die „Erhöhung der Entscheidungssouveränität“ mittels der</w:t>
      </w:r>
      <w:r>
        <w:t xml:space="preserve"> </w:t>
      </w:r>
      <w:r>
        <w:rPr>
          <w:i/>
          <w:iCs/>
        </w:rPr>
        <w:t xml:space="preserve">Most Significant Change (MSC) Method</w:t>
      </w:r>
      <w:r>
        <w:t xml:space="preserve"> </w:t>
      </w:r>
      <w:r>
        <w:t xml:space="preserve">gemessen werden. Dabei werden qualitative Berichte der Community über Machtbalancen ausgewertet. Erfolg definiert sich dann über die Qualität des Dialogs und die Fähigkeit des Systems, auf Lebenswelt-Feedback mit strukturellen Anpassungen zu reagieren.</w:t>
      </w:r>
    </w:p>
    <w:p>
      <w:r>
        <w:pict>
          <v:rect style="width:0;height:1.5pt" o:hralign="center" o:hrstd="t" o:hr="t"/>
        </w:pict>
      </w:r>
    </w:p>
    <w:bookmarkEnd w:id="33"/>
    <w:bookmarkEnd w:id="34"/>
    <w:bookmarkStart w:id="35" w:name="fazit"/>
    <w:p>
      <w:pPr>
        <w:pStyle w:val="Heading1"/>
      </w:pPr>
      <w:r>
        <w:t xml:space="preserve">7. Fazit</w:t>
      </w:r>
    </w:p>
    <w:p>
      <w:pPr>
        <w:pStyle w:val="FirstParagraph"/>
      </w:pPr>
      <w:r>
        <w:t xml:space="preserve">Diese Untersuchung verdeutlicht, dass Widerstand in CHS kein Zeichen von Unwündigkeit, sondern ein valides diagnostisches Feedback-Signal ist. Durch die Theorie der Biomacht (Foucault) wurde die Zweckentfremdung in Uganda als rationale Reaktion auf einen strukturellen „Lack of Fit“ dekonstruiert. Die Daten von Mahmoodi et al. untermauern, dass institutionelles Misstrauen die größte Barriere darstellt.</w:t>
      </w:r>
    </w:p>
    <w:p>
      <w:pPr>
        <w:pStyle w:val="BodyText"/>
      </w:pPr>
      <w:r>
        <w:t xml:space="preserve">In der Gesamtschau wird deutlich: Widerstand signalisiert die Grenze zwischen Fürsorge und Bevormundung. Eine künftige Global Health Praxis muss den Weg von paternalistischen Top-Down-Modellen hin zu echter Co-Creation gehen. Wer Gesundheit nachhaltig fördern will, darf Widerstand nicht weg-edukieren, sondern muss ihn als Ressource für eine gerechtere Systemgestaltung ernst nehmen. Nur so kann Global Health Leben nicht nur verwalten, sondern in seiner Würde schützen.</w:t>
      </w:r>
    </w:p>
    <w:p>
      <w:r>
        <w:pict>
          <v:rect style="width:0;height:1.5pt" o:hralign="center" o:hrstd="t" o:hr="t"/>
        </w:pict>
      </w:r>
    </w:p>
    <w:bookmarkEnd w:id="35"/>
    <w:bookmarkStart w:id="36" w:name="literaturverzeichnis"/>
    <w:p>
      <w:pPr>
        <w:pStyle w:val="Heading1"/>
      </w:pPr>
      <w:r>
        <w:t xml:space="preserve">08. Literaturverzeichnis</w:t>
      </w:r>
    </w:p>
    <w:p>
      <w:pPr>
        <w:pStyle w:val="FirstParagraph"/>
      </w:pPr>
      <w:r>
        <w:t xml:space="preserve">Dreyfus, H. L., &amp; Rabinow, P. (1982).</w:t>
      </w:r>
      <w:r>
        <w:t xml:space="preserve"> </w:t>
      </w:r>
      <w:r>
        <w:rPr>
          <w:i/>
          <w:iCs/>
        </w:rPr>
        <w:t xml:space="preserve">Michel Foucault: Beyond Structuralism and Hermeneutics</w:t>
      </w:r>
      <w:r>
        <w:t xml:space="preserve">. Chicago: University of Chicago Press.</w:t>
      </w:r>
    </w:p>
    <w:p>
      <w:pPr>
        <w:pStyle w:val="BodyText"/>
      </w:pPr>
      <w:r>
        <w:t xml:space="preserve">Foucault, M. (1976).</w:t>
      </w:r>
      <w:r>
        <w:t xml:space="preserve"> </w:t>
      </w:r>
      <w:r>
        <w:rPr>
          <w:i/>
          <w:iCs/>
        </w:rPr>
        <w:t xml:space="preserve">Der Wille zum Wissen: Sexualität und Wahrheit 1</w:t>
      </w:r>
      <w:r>
        <w:t xml:space="preserve">. Frankfurt am Main: Suhrkamp.</w:t>
      </w:r>
    </w:p>
    <w:p>
      <w:pPr>
        <w:pStyle w:val="BodyText"/>
      </w:pPr>
      <w:r>
        <w:t xml:space="preserve">Habermas, J. (1981).</w:t>
      </w:r>
      <w:r>
        <w:t xml:space="preserve"> </w:t>
      </w:r>
      <w:r>
        <w:rPr>
          <w:i/>
          <w:iCs/>
        </w:rPr>
        <w:t xml:space="preserve">Theorie des kommunikativen Handelns</w:t>
      </w:r>
      <w:r>
        <w:t xml:space="preserve">. Frankfurt am Main: Suhrkamp.</w:t>
      </w:r>
    </w:p>
    <w:p>
      <w:pPr>
        <w:pStyle w:val="BodyText"/>
      </w:pPr>
      <w:r>
        <w:t xml:space="preserve">Kane, S., et al. (2016). Limits and opportunities to community health worker empowerment.</w:t>
      </w:r>
      <w:r>
        <w:t xml:space="preserve"> </w:t>
      </w:r>
      <w:r>
        <w:rPr>
          <w:i/>
          <w:iCs/>
        </w:rPr>
        <w:t xml:space="preserve">Social Science &amp; Medicine</w:t>
      </w:r>
      <w:r>
        <w:t xml:space="preserve">, 164, 27–34.</w:t>
      </w:r>
    </w:p>
    <w:p>
      <w:pPr>
        <w:pStyle w:val="BodyText"/>
      </w:pPr>
      <w:r>
        <w:t xml:space="preserve">Mahmoodi, H., et al. (2023). Barriers to implementing health programs based on community participation.</w:t>
      </w:r>
      <w:r>
        <w:t xml:space="preserve"> </w:t>
      </w:r>
      <w:r>
        <w:rPr>
          <w:i/>
          <w:iCs/>
        </w:rPr>
        <w:t xml:space="preserve">BMC Public Health</w:t>
      </w:r>
      <w:r>
        <w:t xml:space="preserve">, 23, 2019.</w:t>
      </w:r>
    </w:p>
    <w:p>
      <w:pPr>
        <w:pStyle w:val="BodyText"/>
      </w:pPr>
      <w:r>
        <w:t xml:space="preserve">Perron, A., et al. (2005). Agents of care and agents of the state: Bio-power and nursing practice.</w:t>
      </w:r>
      <w:r>
        <w:t xml:space="preserve"> </w:t>
      </w:r>
      <w:r>
        <w:rPr>
          <w:i/>
          <w:iCs/>
        </w:rPr>
        <w:t xml:space="preserve">Journal of Advanced Nursing</w:t>
      </w:r>
      <w:r>
        <w:t xml:space="preserve">, 50(5), 536–544.</w:t>
      </w:r>
    </w:p>
    <w:p>
      <w:pPr>
        <w:pStyle w:val="BodyText"/>
      </w:pPr>
      <w:r>
        <w:t xml:space="preserve">World Health Organization (2023).</w:t>
      </w:r>
      <w:r>
        <w:t xml:space="preserve"> </w:t>
      </w:r>
      <w:r>
        <w:rPr>
          <w:i/>
          <w:iCs/>
        </w:rPr>
        <w:t xml:space="preserve">Community health systems: leverage points for health systems strengthening</w:t>
      </w:r>
      <w:r>
        <w:t xml:space="preserve">. Geneva: WHO.</w:t>
      </w:r>
    </w:p>
    <w:p>
      <w:r>
        <w:pict>
          <v:rect style="width:0;height:1.5pt" o:hralign="center" o:hrstd="t" o:hr="t"/>
        </w:pict>
      </w:r>
    </w:p>
    <w:bookmarkEnd w:id="36"/>
    <w:bookmarkStart w:id="37" w:name="eigenständigkeitserklärung"/>
    <w:p>
      <w:pPr>
        <w:pStyle w:val="Heading1"/>
      </w:pPr>
      <w:r>
        <w:t xml:space="preserve">Eigenständigkeitserklärung</w:t>
      </w:r>
    </w:p>
    <w:p>
      <w:pPr>
        <w:pStyle w:val="FirstParagraph"/>
      </w:pPr>
      <w:r>
        <w:t xml:space="preserve">Ich versichere hiermit, dass ich die vorliegende Hausarbeit selbstständig verfasst habe.</w:t>
      </w:r>
    </w:p>
    <w:p>
      <w:pPr>
        <w:pStyle w:val="BodyText"/>
      </w:pPr>
      <w:r>
        <w:rPr>
          <w:b/>
          <w:bCs/>
        </w:rPr>
        <w:t xml:space="preserve">Ort, Datum:</w:t>
      </w:r>
      <w:r>
        <w:t xml:space="preserve"> </w:t>
      </w:r>
      <w:r>
        <w:t xml:space="preserve">Furtwangen, 02. Februar 2026</w:t>
      </w:r>
      <w:r>
        <w:br/>
      </w:r>
      <w:r>
        <w:rPr>
          <w:b/>
          <w:bCs/>
        </w:rPr>
        <w:t xml:space="preserve">Unterschrift:</w:t>
      </w:r>
      <w:r>
        <w:t xml:space="preserve"> </w:t>
      </w:r>
      <w:r>
        <w:t xml:space="preserve">Andreas Braxmeier</w:t>
      </w:r>
    </w:p>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HAUSARBEIT_GESAMT_BRAXMEIER_FINAL</dc:title>
  <dc:creator/>
  <cp:keywords/>
  <dcterms:created xsi:type="dcterms:W3CDTF">2026-02-02T15:22:42Z</dcterms:created>
  <dcterms:modified xsi:type="dcterms:W3CDTF">2026-02-02T15:22:42Z</dcterms:modified>
</cp:coreProperties>
</file>

<file path=docProps/custom.xml><?xml version="1.0" encoding="utf-8"?>
<Properties xmlns="http://schemas.openxmlformats.org/officeDocument/2006/custom-properties" xmlns:vt="http://schemas.openxmlformats.org/officeDocument/2006/docPropsVTypes"/>
</file>