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HAUSARBEIT_GESAMT_BRAXMEIER_FINAL</w:t>
      </w:r>
    </w:p>
    <w:bookmarkStart w:id="9" w:name="titelblatt"/>
    <w:p>
      <w:pPr>
        <w:pStyle w:val="Heading1"/>
      </w:pPr>
      <w:r>
        <w:t xml:space="preserve">Titelblatt</w:t>
      </w:r>
    </w:p>
    <w:p>
      <w:pPr>
        <w:pStyle w:val="FirstParagraph"/>
      </w:pPr>
      <w:r>
        <w:rPr>
          <w:b/>
          <w:bCs/>
        </w:rPr>
        <w:t xml:space="preserve">Hochschule Furtwangen (HFU)</w:t>
      </w:r>
      <w:r>
        <w:br/>
      </w:r>
      <w:r>
        <w:rPr>
          <w:b/>
          <w:bCs/>
        </w:rPr>
        <w:t xml:space="preserve">Fakultät Gesundheit, Sicherheit, Gesellschaft</w:t>
      </w:r>
      <w:r>
        <w:br/>
      </w:r>
      <w:r>
        <w:rPr>
          <w:b/>
          <w:bCs/>
        </w:rPr>
        <w:t xml:space="preserve">Studiengang:</w:t>
      </w:r>
      <w:r>
        <w:t xml:space="preserve"> </w:t>
      </w:r>
      <w:r>
        <w:t xml:space="preserve">M.Sc. Angewandte Gesundheitsförderung</w:t>
      </w:r>
    </w:p>
    <w:p>
      <w:r>
        <w:pict>
          <v:rect style="width:0;height:1.5pt" o:hralign="center" o:hrstd="t" o:hr="t"/>
        </w:pict>
      </w:r>
    </w:p>
    <w:p>
      <w:pPr>
        <w:pStyle w:val="FirstParagraph"/>
      </w:pPr>
      <w:r>
        <w:rPr>
          <w:b/>
          <w:bCs/>
        </w:rPr>
        <w:t xml:space="preserve">Hausarbeit im Modul:</w:t>
      </w:r>
      <w:r>
        <w:t xml:space="preserve"> </w:t>
      </w:r>
      <w:r>
        <w:t xml:space="preserve">Global Health</w:t>
      </w:r>
      <w:r>
        <w:br/>
      </w:r>
      <w:r>
        <w:rPr>
          <w:b/>
          <w:bCs/>
        </w:rPr>
        <w:t xml:space="preserve">Thema:</w:t>
      </w:r>
    </w:p>
    <w:bookmarkEnd w:id="9"/>
    <w:bookmarkStart w:id="11" w:name="X64226e6d789e05b1847c5be8c6da66b7a383256"/>
    <w:p>
      <w:pPr>
        <w:pStyle w:val="Heading1"/>
      </w:pPr>
      <w:r>
        <w:t xml:space="preserve">Widerstand als diagnostisches Instrument in Community Health Systems</w:t>
      </w:r>
    </w:p>
    <w:bookmarkStart w:id="10" w:name="X522b67a119c39bc29fcd632cf9d4caf440ba5ef"/>
    <w:p>
      <w:pPr>
        <w:pStyle w:val="Heading3"/>
      </w:pPr>
      <w:r>
        <w:t xml:space="preserve">Eine Analyse des „Lack of Fit“ zwischen Systemlogik und Lebenswelt am Beispiel der Moskitonetz-Intervention in Uganda</w:t>
      </w:r>
    </w:p>
    <w:p>
      <w:r>
        <w:pict>
          <v:rect style="width:0;height:1.5pt" o:hralign="center" o:hrstd="t" o:hr="t"/>
        </w:pict>
      </w:r>
    </w:p>
    <w:p>
      <w:pPr>
        <w:pStyle w:val="FirstParagraph"/>
      </w:pPr>
      <w:r>
        <w:rPr>
          <w:b/>
          <w:bCs/>
        </w:rPr>
        <w:t xml:space="preserve">Vorgelegt von:</w:t>
      </w:r>
      <w:r>
        <w:br/>
      </w:r>
      <w:r>
        <w:t xml:space="preserve">Andreas Braxmeier</w:t>
      </w:r>
      <w:r>
        <w:br/>
      </w:r>
      <w:r>
        <w:t xml:space="preserve">Matrikelnummer: 268250</w:t>
      </w:r>
      <w:r>
        <w:br/>
      </w:r>
      <w:r>
        <w:t xml:space="preserve">Bregstraße 8</w:t>
      </w:r>
      <w:r>
        <w:br/>
      </w:r>
      <w:r>
        <w:t xml:space="preserve">78120 Furtwangen</w:t>
      </w:r>
    </w:p>
    <w:p>
      <w:pPr>
        <w:pStyle w:val="BodyText"/>
      </w:pPr>
      <w:r>
        <w:rPr>
          <w:b/>
          <w:bCs/>
        </w:rPr>
        <w:t xml:space="preserve">Dozentin:</w:t>
      </w:r>
      <w:r>
        <w:t xml:space="preserve"> </w:t>
      </w:r>
      <w:r>
        <w:t xml:space="preserve">Prof. Dr. Nicole Weydmann</w:t>
      </w:r>
      <w:r>
        <w:br/>
      </w:r>
      <w:r>
        <w:rPr>
          <w:b/>
          <w:bCs/>
        </w:rPr>
        <w:t xml:space="preserve">Abgabedatum:</w:t>
      </w:r>
      <w:r>
        <w:t xml:space="preserve"> </w:t>
      </w:r>
      <w:r>
        <w:t xml:space="preserve">02. Februar 2026</w:t>
      </w:r>
    </w:p>
    <w:p>
      <w:r>
        <w:pict>
          <v:rect style="width:0;height:1.5pt" o:hralign="center" o:hrstd="t" o:hr="t"/>
        </w:pict>
      </w:r>
    </w:p>
    <w:bookmarkEnd w:id="10"/>
    <w:bookmarkEnd w:id="11"/>
    <w:bookmarkStart w:id="12" w:name="inhaltsverzeichnis"/>
    <w:p>
      <w:pPr>
        <w:pStyle w:val="Heading1"/>
      </w:pPr>
      <w:r>
        <w:t xml:space="preserve">Inhaltsverzeichnis</w:t>
      </w:r>
    </w:p>
    <w:p>
      <w:pPr>
        <w:pStyle w:val="Compact"/>
        <w:numPr>
          <w:ilvl w:val="0"/>
          <w:numId w:val="1001"/>
        </w:numPr>
      </w:pPr>
      <w:r>
        <w:rPr>
          <w:b/>
          <w:bCs/>
        </w:rPr>
        <w:t xml:space="preserve">Einleitung</w:t>
      </w:r>
      <w:r>
        <w:t xml:space="preserve"> </w:t>
      </w:r>
      <w:r>
        <w:t xml:space="preserve">........................................................................................... 1</w:t>
      </w:r>
      <w:r>
        <w:br/>
      </w:r>
      <w:r>
        <w:t xml:space="preserve">1.1 Problemstellung und Relevanz ........................................................ 1</w:t>
      </w:r>
      <w:r>
        <w:br/>
      </w:r>
      <w:r>
        <w:t xml:space="preserve">1.2 Forschungsfrage und Zielsetzung ..................................................... 1</w:t>
      </w:r>
    </w:p>
    <w:p>
      <w:pPr>
        <w:pStyle w:val="Compact"/>
        <w:numPr>
          <w:ilvl w:val="0"/>
          <w:numId w:val="1001"/>
        </w:numPr>
      </w:pPr>
      <w:r>
        <w:rPr>
          <w:b/>
          <w:bCs/>
        </w:rPr>
        <w:t xml:space="preserve">Theoretischer Rahmen</w:t>
      </w:r>
      <w:r>
        <w:t xml:space="preserve"> </w:t>
      </w:r>
      <w:r>
        <w:t xml:space="preserve">......................................................................... 2</w:t>
      </w:r>
      <w:r>
        <w:br/>
      </w:r>
      <w:r>
        <w:t xml:space="preserve">2.1 Community Health Systems (CHS) im Global Health Kontext ........... 2</w:t>
      </w:r>
      <w:r>
        <w:br/>
      </w:r>
      <w:r>
        <w:t xml:space="preserve">2.2 Biopolitik und Machttechnologien nach Foucault ............................. 2</w:t>
      </w:r>
      <w:r>
        <w:br/>
      </w:r>
      <w:r>
        <w:t xml:space="preserve">2.3 Das Konzept der psychologischen Reaktanz und Lebenswelt ............ 3</w:t>
      </w:r>
    </w:p>
    <w:p>
      <w:pPr>
        <w:pStyle w:val="Compact"/>
        <w:numPr>
          <w:ilvl w:val="0"/>
          <w:numId w:val="1001"/>
        </w:numPr>
      </w:pPr>
      <w:r>
        <w:rPr>
          <w:b/>
          <w:bCs/>
        </w:rPr>
        <w:t xml:space="preserve">Machtasymmetrien in CHS</w:t>
      </w:r>
      <w:r>
        <w:t xml:space="preserve"> </w:t>
      </w:r>
      <w:r>
        <w:t xml:space="preserve">................................................................... 4</w:t>
      </w:r>
      <w:r>
        <w:br/>
      </w:r>
      <w:r>
        <w:t xml:space="preserve">3.1 Agents of Care vs. Agents of the State ............................................ 4</w:t>
      </w:r>
      <w:r>
        <w:br/>
      </w:r>
      <w:r>
        <w:t xml:space="preserve">3.2 Epistemische Ungerechtigkeit und Wissenshierarchien .................... 4</w:t>
      </w:r>
    </w:p>
    <w:p>
      <w:pPr>
        <w:pStyle w:val="Compact"/>
        <w:numPr>
          <w:ilvl w:val="0"/>
          <w:numId w:val="1001"/>
        </w:numPr>
      </w:pPr>
      <w:r>
        <w:rPr>
          <w:b/>
          <w:bCs/>
        </w:rPr>
        <w:t xml:space="preserve">Widerstand als diagnostisches Feedback-Instrument</w:t>
      </w:r>
      <w:r>
        <w:t xml:space="preserve"> </w:t>
      </w:r>
      <w:r>
        <w:t xml:space="preserve">............................ 5</w:t>
      </w:r>
      <w:r>
        <w:br/>
      </w:r>
      <w:r>
        <w:t xml:space="preserve">4.1 Dekonstruktion der „Non-Compliance“ ............................................. 5</w:t>
      </w:r>
      <w:r>
        <w:br/>
      </w:r>
      <w:r>
        <w:t xml:space="preserve">4.2 Widerstand als Indikator für den „Lack of Fit“ ................................. 5</w:t>
      </w:r>
    </w:p>
    <w:p>
      <w:pPr>
        <w:pStyle w:val="Compact"/>
        <w:numPr>
          <w:ilvl w:val="0"/>
          <w:numId w:val="1001"/>
        </w:numPr>
      </w:pPr>
      <w:r>
        <w:rPr>
          <w:b/>
          <w:bCs/>
        </w:rPr>
        <w:t xml:space="preserve">Fallstudie: ITN-Distribution in Uganda</w:t>
      </w:r>
      <w:r>
        <w:t xml:space="preserve"> </w:t>
      </w:r>
      <w:r>
        <w:t xml:space="preserve">.................................................. 6</w:t>
      </w:r>
      <w:r>
        <w:br/>
      </w:r>
      <w:r>
        <w:t xml:space="preserve">5.1 Die Rationalität der Zweckentfremdung ........................................... 6</w:t>
      </w:r>
      <w:r>
        <w:br/>
      </w:r>
      <w:r>
        <w:t xml:space="preserve">5.2 Social Determinants of Health: Hunger vs. Malaria ........................... 6</w:t>
      </w:r>
    </w:p>
    <w:p>
      <w:pPr>
        <w:pStyle w:val="Compact"/>
        <w:numPr>
          <w:ilvl w:val="0"/>
          <w:numId w:val="1001"/>
        </w:numPr>
      </w:pPr>
      <w:r>
        <w:rPr>
          <w:b/>
          <w:bCs/>
        </w:rPr>
        <w:t xml:space="preserve">Diskussion und Handlungsempfehlungen</w:t>
      </w:r>
      <w:r>
        <w:t xml:space="preserve"> </w:t>
      </w:r>
      <w:r>
        <w:t xml:space="preserve">.............................................. 7</w:t>
      </w:r>
      <w:r>
        <w:br/>
      </w:r>
      <w:r>
        <w:t xml:space="preserve">6.1 Von der Edukation zur systemischen Adaptation ............................. 7</w:t>
      </w:r>
      <w:r>
        <w:br/>
      </w:r>
      <w:r>
        <w:t xml:space="preserve">6.2 Co-Creation und Partizipation .......................................................... 7</w:t>
      </w:r>
    </w:p>
    <w:p>
      <w:pPr>
        <w:pStyle w:val="Compact"/>
        <w:numPr>
          <w:ilvl w:val="0"/>
          <w:numId w:val="1001"/>
        </w:numPr>
      </w:pPr>
      <w:r>
        <w:rPr>
          <w:b/>
          <w:bCs/>
        </w:rPr>
        <w:t xml:space="preserve">Fazit</w:t>
      </w:r>
      <w:r>
        <w:t xml:space="preserve"> </w:t>
      </w:r>
      <w:r>
        <w:t xml:space="preserve">..................................................................................................... 8</w:t>
      </w:r>
    </w:p>
    <w:p>
      <w:pPr>
        <w:pStyle w:val="Compact"/>
        <w:numPr>
          <w:ilvl w:val="0"/>
          <w:numId w:val="1001"/>
        </w:numPr>
      </w:pPr>
      <w:r>
        <w:rPr>
          <w:b/>
          <w:bCs/>
        </w:rPr>
        <w:t xml:space="preserve">Literaturverzeichnis</w:t>
      </w:r>
      <w:r>
        <w:t xml:space="preserve"> </w:t>
      </w:r>
      <w:r>
        <w:t xml:space="preserve">.............................................................................. 9</w:t>
      </w:r>
    </w:p>
    <w:p>
      <w:pPr>
        <w:pStyle w:val="Compact"/>
        <w:numPr>
          <w:ilvl w:val="0"/>
          <w:numId w:val="1001"/>
        </w:numPr>
      </w:pPr>
      <w:r>
        <w:rPr>
          <w:b/>
          <w:bCs/>
        </w:rPr>
        <w:t xml:space="preserve">Eigenständigkeitserklärung</w:t>
      </w:r>
      <w:r>
        <w:t xml:space="preserve"> </w:t>
      </w:r>
      <w:r>
        <w:t xml:space="preserve">................................................................ 10</w:t>
      </w:r>
    </w:p>
    <w:p>
      <w:r>
        <w:pict>
          <v:rect style="width:0;height:1.5pt" o:hralign="center" o:hrstd="t" o:hr="t"/>
        </w:pict>
      </w:r>
    </w:p>
    <w:bookmarkEnd w:id="12"/>
    <w:bookmarkStart w:id="16" w:name="einleitung"/>
    <w:p>
      <w:pPr>
        <w:pStyle w:val="Heading1"/>
      </w:pPr>
      <w:r>
        <w:t xml:space="preserve">1. Einleitung</w:t>
      </w:r>
    </w:p>
    <w:bookmarkStart w:id="13" w:name="X318c07f075fb1c24cd28df8f396b664d1c04bfa"/>
    <w:p>
      <w:pPr>
        <w:pStyle w:val="Heading2"/>
      </w:pPr>
      <w:r>
        <w:t xml:space="preserve">1.1 Problemstellung und Relevanz im Global Health Diskurs</w:t>
      </w:r>
    </w:p>
    <w:p>
      <w:pPr>
        <w:pStyle w:val="FirstParagraph"/>
      </w:pPr>
      <w:r>
        <w:t xml:space="preserve">Die globale Gesundheitsarchitektur des 21. Jahrhunderts ist von einem tiefgreifenden Paradoxon geprägt, das die Effektivität internationaler Hilfsmaßnahmen fundamental infrage stellt. Auf der einen Seite erleben wir ein goldenes Zeitalter der biomedizinischen Innovation: Die Entwicklung hochwirksamer Vakzine, die Verfeinerung präventiver Technologien wie insektizid-behandelter Moskitonetze (ITNs) und die Digitalisierung der Gesundheitsüberwachung haben das theoretische Potenzial, die globale Krankheitslast drastisch zu senken. Auf der anderen Seite zeigt die empirische Realität in vielen Regionen des globalen Südens, insbesondere in Subsahara-Afrika, dass diese Lösungen häufig auf der sogenannten „letzten Meile“ versanden.</w:t>
      </w:r>
    </w:p>
    <w:p>
      <w:pPr>
        <w:pStyle w:val="BodyText"/>
      </w:pPr>
      <w:r>
        <w:t xml:space="preserve">Dieses Phänomen wird in der Fachliteratur als „Implementation Gap“ bezeichnet – eine signifikante Kluft zwischen der technologischen Verfügbarkeit einer gesundheitlichen Intervention und ihrer tatsächlichen Annahme und Nutzung durch die Zielpopulation. In der Vergangenheit neigte die Public-Health-Forschung dazu, dieses Scheitern primär als ein Defizit aufseiten der Bevölkerung zu interpretieren. Unter dem Begriff der „Non-Compliance“ wurde Patienten und Gemeinschaften unterstellt, sie seien entweder unzureichend informiert, kulturell voreingenommen oder schlicht irrational, wenn sie lebensrettende Maßnahmen ablehnten oder zweckentfremdeten. Diese paternalistische Sichtweise entlastet zwar die Programmentwickler von der Verantwortung für Designfehler, verkennt jedoch die strukturellen und machtpolitischen Ursachen des Widerstands.</w:t>
      </w:r>
    </w:p>
    <w:p>
      <w:pPr>
        <w:pStyle w:val="BodyText"/>
      </w:pPr>
      <w:r>
        <w:t xml:space="preserve">Die Relevanz dieses Themas ergibt sich aus der Notwendigkeit, Gesundheitsprogramme nicht mehr nur als logistische Operationen, sondern als soziopolitische Interventionen zu begreifen. In einer Welt, in der Milliarden in globale Gesundheitsfonds fließen, ist das Verständnis von Widerstandsphänomenen keine akademische Randnotiz, sondern eine Voraussetzung für die ökonomische und ethische Rechtfertigung von Community Health Systems (CHS).</w:t>
      </w:r>
    </w:p>
    <w:bookmarkEnd w:id="13"/>
    <w:bookmarkStart w:id="14" w:name="X7e20ed232028829b4d2349899891127431a23e5"/>
    <w:p>
      <w:pPr>
        <w:pStyle w:val="Heading2"/>
      </w:pPr>
      <w:r>
        <w:t xml:space="preserve">1.2 Forschungsfrage und Zielsetzung der Arbeit</w:t>
      </w:r>
    </w:p>
    <w:p>
      <w:pPr>
        <w:pStyle w:val="FirstParagraph"/>
      </w:pPr>
      <w:r>
        <w:t xml:space="preserve">Die vorliegende Hausarbeit bricht radikal mit der defizitorientierten Perspektive der „Non-Compliance“. Sie postuliert stattdessen, dass Widerstand gegen gesundheitliche Maßnahmen ein hochfunktionales, rationales Feedback-Signal darstellt. Dieses Signal weist auf einen fundamentalen „Lack of Fit“ hin – eine mangelnde Passung zwischen der technokratischen Systemlogik der Geberinstitutionen und der komplexen Lebensweltlogik der Empfänger.</w:t>
      </w:r>
    </w:p>
    <w:p>
      <w:pPr>
        <w:pStyle w:val="BodyText"/>
      </w:pPr>
      <w:r>
        <w:t xml:space="preserve">Um dieses Phänomen zu dekonstruieren, widmet sich die Arbeit folgender zentraler Forschungsfrage:</w:t>
      </w:r>
      <w:r>
        <w:br/>
      </w:r>
      <w:r>
        <w:rPr>
          <w:b/>
          <w:bCs/>
        </w:rPr>
        <w:t xml:space="preserve">Inwiefern lässt sich der Widerstand gegen ITN-Distributionen in Uganda durch die Theorie der Biomacht nach Michel Foucault dekonstruieren, und welche diagnostischen Signale liefert dieser „Lack of Fit“ für eine Neugestaltung partizipativer Community Health Systems?</w:t>
      </w:r>
    </w:p>
    <w:p>
      <w:pPr>
        <w:pStyle w:val="BodyText"/>
      </w:pPr>
      <w:r>
        <w:t xml:space="preserve">Ziel der Arbeit ist es, Widerstand zu entpathologisieren. Es soll aufgezeigt werden, dass die Zweckentfremdung von Ressourcen – wie etwa das fischen mit Moskitonetzen – keine Ignoranz gegenüber Krankheitsrisiken darstellt, sondern Ausdruck einer kalkulierten Agency unter prekären sozioökonomischen Bedingungen (Social Determinants of Health) ist. Damit leistet die Arbeit einen Beitrag zur theoretischen Fundierung einer kritischen Global Health Forschung, die Partizipation nicht als bloße Akzeptanzbeschaffung, sondern als epistemische Notwendigkeit versteht.</w:t>
      </w:r>
    </w:p>
    <w:bookmarkEnd w:id="14"/>
    <w:bookmarkStart w:id="15" w:name="methodisches-vorgehen-und-aufbau"/>
    <w:p>
      <w:pPr>
        <w:pStyle w:val="Heading2"/>
      </w:pPr>
      <w:r>
        <w:t xml:space="preserve">1.3 Methodisches Vorgehen und Aufbau</w:t>
      </w:r>
    </w:p>
    <w:p>
      <w:pPr>
        <w:pStyle w:val="FirstParagraph"/>
      </w:pPr>
      <w:r>
        <w:t xml:space="preserve">Die Beantwortung der Forschungsfrage erfolgt im Rahmen einer qualitativen, theoriegeleiteten Literaturanalyse. Dabei werden soziologische Grundlagentexte zur Macht- und Systemtheorie (insbesondere Michel Foucault, Jürgen Habermas und Amélie Perron) mit aktueller empirischer Evidenz der Global Health Forschung trianguliert.</w:t>
      </w:r>
    </w:p>
    <w:p>
      <w:pPr>
        <w:pStyle w:val="BodyText"/>
      </w:pPr>
      <w:r>
        <w:t xml:space="preserve">Der Aufbau der Arbeit ist in sieben Kapitel gegliedert: Nach dieser Einleitung erfolgt in Kapitel 2 die Etablierung des theoretischen Rahmens, wobei insbesondere die Konzepte der Biomacht und der Lebensweltlogik geschärft werden. Kapitel 3 widmet sich der spezifischen Rolle der Community Health Workers als „Agents of the State“. In Kapitel 4 wird Widerstand konzeptionell als diagnostisches Instrument hergeleitet. Das Herzstück der Arbeit bildet Kapitel 5, in dem die theoretischen Überlegungen am empirischen Beispiel der Moskitonetz-Intervention in Uganda validiert werden. Kapitel 6 diskutiert die daraus resultierenden Handlungsempfehlungen im Sinne einer systemischen Adaptation und Co-Creation, bevor Kapitel 7 die Ergebnisse zusammenfasst und einen Ausblick auf zukünftige Forschungsbedarfe gibt.</w:t>
      </w:r>
    </w:p>
    <w:p>
      <w:r>
        <w:pict>
          <v:rect style="width:0;height:1.5pt" o:hralign="center" o:hrstd="t" o:hr="t"/>
        </w:pict>
      </w:r>
    </w:p>
    <w:bookmarkEnd w:id="15"/>
    <w:bookmarkEnd w:id="16"/>
    <w:bookmarkStart w:id="20" w:name="theoretischer-rahmen"/>
    <w:p>
      <w:pPr>
        <w:pStyle w:val="Heading1"/>
      </w:pPr>
      <w:r>
        <w:t xml:space="preserve">2. Theoretischer Rahmen</w:t>
      </w:r>
    </w:p>
    <w:p>
      <w:pPr>
        <w:pStyle w:val="FirstParagraph"/>
      </w:pPr>
      <w:r>
        <w:t xml:space="preserve">Um das Phänomen des Widerstands in Community Health Systems (CHS) nicht als bloßes individuelles Fehlverhalten, sondern als strukturelles Symptom machtpolitischer Dynamiken zu verstehen, bedarf es einer soliden theoretischen Fundierung. Dieses Kapitel spannt den Bogen von der organisatorischen Struktur der CHS über die machttheoretischen Überlegungen Michel Foucaults bis hin zur systemtheoretischen Differenzierung zwischen System und Lebenswelt nach Jürgen Habermas.</w:t>
      </w:r>
    </w:p>
    <w:bookmarkStart w:id="17" w:name="Xfbf96715365a2758d9c897d09bdcb396309ca18"/>
    <w:p>
      <w:pPr>
        <w:pStyle w:val="Heading2"/>
      </w:pPr>
      <w:r>
        <w:t xml:space="preserve">2.1 Community Health Systems (CHS) im Global Health Kontext</w:t>
      </w:r>
    </w:p>
    <w:p>
      <w:pPr>
        <w:pStyle w:val="FirstParagraph"/>
      </w:pPr>
      <w:r>
        <w:t xml:space="preserve">Community Health Systems bilden das organisationale Rückgrat vieler Gesundheitsstrategien im globalen Süden. Sie sind als hybride Strukturen konzipiert, die die Kluft zwischen formellen, oft zentralisierten Gesundheitseinrichtungen und der lokalen Bevölkerung überbrücken sollen. Das zentrale Element dieser Systeme sind die Community Health Workers (CHWs) – Laiengesundheitsarbeiter, die idealerweise aus den Gemeinschaften stammen, in denen sie tätig sind.</w:t>
      </w:r>
    </w:p>
    <w:p>
      <w:pPr>
        <w:pStyle w:val="BodyText"/>
      </w:pPr>
      <w:r>
        <w:t xml:space="preserve">Theoretisch verfolgen CHS ein emanzipatorisches Ziel: die Demokratisierung des Gesundheitszugangs und die Stärkung der community-basierten Selbsthilfe. In der Realität jedoch fungieren sie häufig als verlängerter Arm nationaler und internationaler Gesundheitsministerien. Wie Kane et al. (2016) in ihrer Mehrländerstudie zeigen, sind CHWs oft in starre Hierarchien eingebunden, die primär auf die Exekution globaler Ziele (wie Impfquoten oder Krankheitsmonitoring) ausgerichtet sind. Hier entsteht ein inhärentes Spannungsfeld: Während die Rhetorik auf „Empowerment“ setzt, ist die Praxis oft durch eine instrumentelle Logik geprägt, in der die Gemeinschaft nicht als Partner, sondern als Objekt einer Intervention betrachtet wird. Dieses strukturelle Ungleichgewicht bildet den Nährboden für spätere Widerstandsphänomene.</w:t>
      </w:r>
    </w:p>
    <w:bookmarkEnd w:id="17"/>
    <w:bookmarkStart w:id="18" w:name="Xbca904e7d562fd3ac162bf6194d606793e35247"/>
    <w:p>
      <w:pPr>
        <w:pStyle w:val="Heading2"/>
      </w:pPr>
      <w:r>
        <w:t xml:space="preserve">2.2 Biopolitik und Machttechnologien nach Foucault</w:t>
      </w:r>
    </w:p>
    <w:p>
      <w:pPr>
        <w:pStyle w:val="FirstParagraph"/>
      </w:pPr>
      <w:r>
        <w:t xml:space="preserve">Ein tieferes Verständnis der Machtdynamiken in CHS ermöglicht das Konzept der Biomacht (Bio-power) von Michel Foucault. Foucault argumentiert, dass moderne Macht nicht mehr primär repressiv wirkt, sondern darauf abzielt, das Leben selbst zu verwalten, zu optimieren und nutzbar zu machen. Perron et al. (2005) konstatieren in Anlehnung an Foucault, dass Gesundheitsakteure an der Schnittstelle zweier Machtachsen operieren:</w:t>
      </w:r>
    </w:p>
    <w:p>
      <w:pPr>
        <w:pStyle w:val="Compact"/>
        <w:numPr>
          <w:ilvl w:val="0"/>
          <w:numId w:val="1002"/>
        </w:numPr>
      </w:pPr>
      <w:r>
        <w:rPr>
          <w:b/>
          <w:bCs/>
        </w:rPr>
        <w:t xml:space="preserve">Die anatomo-politische Achse (Disziplinierung des Körpers):</w:t>
      </w:r>
      <w:r>
        <w:t xml:space="preserve"> </w:t>
      </w:r>
      <w:r>
        <w:t xml:space="preserve">Diese Ebene zielt auf den individuellen Körper ab. Er soll durch spezifische Technologien „gelehrig“ (docile bodies) gemacht werden. In CHS manifestiert sich dies in der Mikroverwaltung von Körpern: durch die exakte Dokumentation von Medikamenteneinnahmen, das Wiegen von Säuglingen oder die Überwachung von Hygienestandards im privaten Raum. Der Körper wird hier zum Objekt der Inspektion und Normierung.</w:t>
      </w:r>
    </w:p>
    <w:p>
      <w:pPr>
        <w:pStyle w:val="Compact"/>
        <w:numPr>
          <w:ilvl w:val="0"/>
          <w:numId w:val="1002"/>
        </w:numPr>
      </w:pPr>
      <w:r>
        <w:rPr>
          <w:b/>
          <w:bCs/>
        </w:rPr>
        <w:t xml:space="preserve">Die biopolitische Achse (Populationsmanagement):</w:t>
      </w:r>
      <w:r>
        <w:t xml:space="preserve"> </w:t>
      </w:r>
      <w:r>
        <w:t xml:space="preserve">Diese Ebene adressiert den „Gesamtkörper“ der Bevölkerung. Durch Statistiken, Geburtenraten und epidemiologische Daten wird das Leben zu einem regulierbaren und kalkulierbaren Objekt staatlicher Planung.</w:t>
      </w:r>
    </w:p>
    <w:p>
      <w:pPr>
        <w:pStyle w:val="FirstParagraph"/>
      </w:pPr>
      <w:r>
        <w:t xml:space="preserve">In diesem Kontext fungiert medizinisches Wissen als „Expertendiskurs“, der eine klare Grenze zwischen „normalen“ (gesunden, kooperativen) und „pathologischen“ (kranken, widerspenstigen) Verhaltensweisen zieht. Widerstand ist aus dieser Perspektive keine bloße Verweigerung von Hilfe, sondern ein Akt der Selbstbehauptung gegen eine Machtform, die bis in die intimsten Bereiche der Lebensführung vordringt und diese im Sinne staatlicher Produktivitätsziele zu optimieren sucht.</w:t>
      </w:r>
    </w:p>
    <w:bookmarkEnd w:id="18"/>
    <w:bookmarkStart w:id="19" w:name="X7c7c971786958c61cb75afc963768c6375b390b"/>
    <w:p>
      <w:pPr>
        <w:pStyle w:val="Heading2"/>
      </w:pPr>
      <w:r>
        <w:t xml:space="preserve">2.3 Das Konzept der Lebensweltlogik und psychologischen Reaktanz</w:t>
      </w:r>
    </w:p>
    <w:p>
      <w:pPr>
        <w:pStyle w:val="FirstParagraph"/>
      </w:pPr>
      <w:r>
        <w:t xml:space="preserve">Ergänzend zur Machttheorie bietet Jürgen Habermas’ Unterscheidung zwischen „System“ und „Lebenswelt“ einen präzisen Analyseramen. Das</w:t>
      </w:r>
      <w:r>
        <w:t xml:space="preserve"> </w:t>
      </w:r>
      <w:r>
        <w:rPr>
          <w:b/>
          <w:bCs/>
        </w:rPr>
        <w:t xml:space="preserve">System</w:t>
      </w:r>
      <w:r>
        <w:t xml:space="preserve"> </w:t>
      </w:r>
      <w:r>
        <w:t xml:space="preserve">(repräsentiert durch globale Gesundheitsorganisationen und staatliche Bürokratie) operiert nach einer Logik der Zweck-Mittel-Rationalität und des strategischen Handelns. Hier zählen Effizienz, statistische Erfolge und standardisierte Protokolle. Die</w:t>
      </w:r>
      <w:r>
        <w:t xml:space="preserve"> </w:t>
      </w:r>
      <w:r>
        <w:rPr>
          <w:b/>
          <w:bCs/>
        </w:rPr>
        <w:t xml:space="preserve">Lebenswelt</w:t>
      </w:r>
      <w:r>
        <w:t xml:space="preserve"> </w:t>
      </w:r>
      <w:r>
        <w:t xml:space="preserve">hingegen ist der Ort der symbolischen Reproduktion, der sozialen Netzwerke und des intuitiven Erfahrungswissens der Menschen vor Ort.</w:t>
      </w:r>
    </w:p>
    <w:p>
      <w:pPr>
        <w:pStyle w:val="BodyText"/>
      </w:pPr>
      <w:r>
        <w:rPr>
          <w:b/>
          <w:bCs/>
        </w:rPr>
        <w:t xml:space="preserve">Tabelle 1: Gegenüberstellung der Logiken (nach Habermas)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Kategorie</w:t>
            </w:r>
          </w:p>
        </w:tc>
        <w:tc>
          <w:tcPr/>
          <w:p>
            <w:pPr>
              <w:pStyle w:val="Compact"/>
              <w:jc w:val="left"/>
            </w:pPr>
            <w:r>
              <w:t xml:space="preserve">System-Logik (Top-Down)</w:t>
            </w:r>
          </w:p>
        </w:tc>
        <w:tc>
          <w:tcPr/>
          <w:p>
            <w:pPr>
              <w:pStyle w:val="Compact"/>
              <w:jc w:val="left"/>
            </w:pPr>
            <w:r>
              <w:t xml:space="preserve">Lebenswelt-Logik (Bottom-Up)</w:t>
            </w:r>
          </w:p>
        </w:tc>
      </w:tr>
      <w:tr>
        <w:tc>
          <w:tcPr/>
          <w:p>
            <w:pPr>
              <w:pStyle w:val="Compact"/>
              <w:jc w:val="left"/>
            </w:pPr>
            <w:r>
              <w:rPr>
                <w:b/>
                <w:bCs/>
              </w:rPr>
              <w:t xml:space="preserve">Primäres Ziel</w:t>
            </w:r>
          </w:p>
        </w:tc>
        <w:tc>
          <w:tcPr/>
          <w:p>
            <w:pPr>
              <w:pStyle w:val="Compact"/>
              <w:jc w:val="left"/>
            </w:pPr>
            <w:r>
              <w:t xml:space="preserve">Statistische Risikominimierung</w:t>
            </w:r>
          </w:p>
        </w:tc>
        <w:tc>
          <w:tcPr/>
          <w:p>
            <w:pPr>
              <w:pStyle w:val="Compact"/>
              <w:jc w:val="left"/>
            </w:pPr>
            <w:r>
              <w:t xml:space="preserve">Akute Existenzsicherung</w:t>
            </w:r>
          </w:p>
        </w:tc>
      </w:tr>
      <w:tr>
        <w:tc>
          <w:tcPr/>
          <w:p>
            <w:pPr>
              <w:pStyle w:val="Compact"/>
              <w:jc w:val="left"/>
            </w:pPr>
            <w:r>
              <w:rPr>
                <w:b/>
                <w:bCs/>
              </w:rPr>
              <w:t xml:space="preserve">Zeithorizont</w:t>
            </w:r>
          </w:p>
        </w:tc>
        <w:tc>
          <w:tcPr/>
          <w:p>
            <w:pPr>
              <w:pStyle w:val="Compact"/>
              <w:jc w:val="left"/>
            </w:pPr>
            <w:r>
              <w:t xml:space="preserve">Zukunft (Prävention)</w:t>
            </w:r>
          </w:p>
        </w:tc>
        <w:tc>
          <w:tcPr/>
          <w:p>
            <w:pPr>
              <w:pStyle w:val="Compact"/>
              <w:jc w:val="left"/>
            </w:pPr>
            <w:r>
              <w:t xml:space="preserve">Gegenwart (Überleben heute)</w:t>
            </w:r>
          </w:p>
        </w:tc>
      </w:tr>
      <w:tr>
        <w:tc>
          <w:tcPr/>
          <w:p>
            <w:pPr>
              <w:pStyle w:val="Compact"/>
              <w:jc w:val="left"/>
            </w:pPr>
            <w:r>
              <w:rPr>
                <w:b/>
                <w:bCs/>
              </w:rPr>
              <w:t xml:space="preserve">Wissenstyp</w:t>
            </w:r>
          </w:p>
        </w:tc>
        <w:tc>
          <w:tcPr/>
          <w:p>
            <w:pPr>
              <w:pStyle w:val="Compact"/>
              <w:jc w:val="left"/>
            </w:pPr>
            <w:r>
              <w:t xml:space="preserve">Biomedizinisch, quantitativ</w:t>
            </w:r>
          </w:p>
        </w:tc>
        <w:tc>
          <w:tcPr/>
          <w:p>
            <w:pPr>
              <w:pStyle w:val="Compact"/>
              <w:jc w:val="left"/>
            </w:pPr>
            <w:r>
              <w:t xml:space="preserve">Pragmatisch, erfahrungsbasiert</w:t>
            </w:r>
          </w:p>
        </w:tc>
      </w:tr>
      <w:tr>
        <w:tc>
          <w:tcPr/>
          <w:p>
            <w:pPr>
              <w:pStyle w:val="Compact"/>
              <w:jc w:val="left"/>
            </w:pPr>
            <w:r>
              <w:rPr>
                <w:b/>
                <w:bCs/>
              </w:rPr>
              <w:t xml:space="preserve">Wahrnehmung</w:t>
            </w:r>
          </w:p>
        </w:tc>
        <w:tc>
          <w:tcPr/>
          <w:p>
            <w:pPr>
              <w:pStyle w:val="Compact"/>
              <w:jc w:val="left"/>
            </w:pPr>
            <w:r>
              <w:t xml:space="preserve">Mensch als Datenträger</w:t>
            </w:r>
          </w:p>
        </w:tc>
        <w:tc>
          <w:tcPr/>
          <w:p>
            <w:pPr>
              <w:pStyle w:val="Compact"/>
              <w:jc w:val="left"/>
            </w:pPr>
            <w:r>
              <w:t xml:space="preserve">Mensch als handelndes Subjekt</w:t>
            </w:r>
          </w:p>
        </w:tc>
      </w:tr>
      <w:tr>
        <w:tc>
          <w:tcPr/>
          <w:p>
            <w:pPr>
              <w:pStyle w:val="Compact"/>
              <w:jc w:val="left"/>
            </w:pPr>
            <w:r>
              <w:rPr>
                <w:b/>
                <w:bCs/>
              </w:rPr>
              <w:t xml:space="preserve">Widerstand</w:t>
            </w:r>
          </w:p>
        </w:tc>
        <w:tc>
          <w:tcPr/>
          <w:p>
            <w:pPr>
              <w:pStyle w:val="Compact"/>
              <w:jc w:val="left"/>
            </w:pPr>
            <w:r>
              <w:t xml:space="preserve">"Non-Compliance" (Fehler)</w:t>
            </w:r>
          </w:p>
        </w:tc>
        <w:tc>
          <w:tcPr/>
          <w:p>
            <w:pPr>
              <w:pStyle w:val="Compact"/>
              <w:jc w:val="left"/>
            </w:pPr>
            <w:r>
              <w:t xml:space="preserve">Diagnostisches Signal (Feedback)</w:t>
            </w:r>
          </w:p>
        </w:tc>
      </w:tr>
    </w:tbl>
    <w:p>
      <w:pPr>
        <w:pStyle w:val="BodyText"/>
      </w:pPr>
      <w:r>
        <w:t xml:space="preserve">Ein „Lack of Fit“ entsteht dann, wenn die Imperative des Systems – etwa die Forderung nach absoluter Therapietreue – in die Lebenswelt eindringen und deren eigene Logik verdrängen (Kolonialisierung der Lebenswelt). Wenn eine Mutter den Besuch einer Klinik ablehnt, weil die Wartezeit den Ernteeinsatz gefährdet, kollidiert die Systemanforderung (Prävention) mit der lebensweltlichen Notwendigkeit (Existenzsicherung).</w:t>
      </w:r>
    </w:p>
    <w:p>
      <w:pPr>
        <w:pStyle w:val="BodyText"/>
      </w:pPr>
      <w:r>
        <w:t xml:space="preserve">Psychologisch lässt sich die Reaktion der Bevölkerung als</w:t>
      </w:r>
      <w:r>
        <w:t xml:space="preserve"> </w:t>
      </w:r>
      <w:r>
        <w:rPr>
          <w:b/>
          <w:bCs/>
        </w:rPr>
        <w:t xml:space="preserve">Reaktanz</w:t>
      </w:r>
      <w:r>
        <w:t xml:space="preserve"> </w:t>
      </w:r>
      <w:r>
        <w:t xml:space="preserve">begreifen: Wenn Menschen das Gefühl haben, dass ihre Handlungsautonomie durch bevormundende Gesundheitsmaßnahmen eingeschränkt wird, werten sie die bedrohte Freiheit auf und leisten Widerstand. Dieser Widerstand ist somit nicht Ausdruck von Unwissenheit, sondern der Versuch, die Souveränität über die eigene Lebensgestaltung gegen eine technokratische Überformung zu verteidigen. Widerstand signalisiert damit das Scheitern der Systemlogik, die Komplexität der lokalen Lebenswelt angemessen zu integrieren.</w:t>
      </w:r>
    </w:p>
    <w:p>
      <w:r>
        <w:pict>
          <v:rect style="width:0;height:1.5pt" o:hralign="center" o:hrstd="t" o:hr="t"/>
        </w:pict>
      </w:r>
    </w:p>
    <w:bookmarkEnd w:id="19"/>
    <w:bookmarkEnd w:id="20"/>
    <w:bookmarkStart w:id="24" w:name="Xa311451295b7505ed4e99aab0a3d2b89b3015cd"/>
    <w:p>
      <w:pPr>
        <w:pStyle w:val="Heading1"/>
      </w:pPr>
      <w:r>
        <w:t xml:space="preserve">3. Community Health Systems und Machtstrukturen</w:t>
      </w:r>
    </w:p>
    <w:p>
      <w:pPr>
        <w:pStyle w:val="FirstParagraph"/>
      </w:pPr>
      <w:r>
        <w:t xml:space="preserve">Die Analyse von Community Health Systems (CHS) bleibt unvollständig, wenn sie die tief verwurzelten Machtasymmetrien ignoriert, die in der globalen Gesundheitsarchitektur verankert sind. In diesem Kapitel wird untersucht, wie sich die theoretischen Konzepte der Biomacht in der täglichen Praxis der CHS manifestieren und welche Rolle dabei die Akteure vor Ort – die Community Health Workers (CHWs) – einnehmen.</w:t>
      </w:r>
    </w:p>
    <w:bookmarkStart w:id="21" w:name="Xbf50bf6e86d1b5454213b58adba673464978eec"/>
    <w:p>
      <w:pPr>
        <w:pStyle w:val="Heading2"/>
      </w:pPr>
      <w:r>
        <w:t xml:space="preserve">3.1 Die Rollenambivalenz: Agents of Care vs. Agents of the State</w:t>
      </w:r>
    </w:p>
    <w:p>
      <w:pPr>
        <w:pStyle w:val="FirstParagraph"/>
      </w:pPr>
      <w:r>
        <w:t xml:space="preserve">Ein zentrales Spannungsfeld in CHS ergibt sich aus der prekären Position der Community Health Workers. In der offiziellen Rhetorik internationaler Organisationen werden CHWs oft als „Health Heroes“ oder Brückenbauer gefeiert, die durch ihre lokale Verankerung das Vertrauen der Gemeinschaft genießen. Sie agieren hierbei als</w:t>
      </w:r>
      <w:r>
        <w:t xml:space="preserve"> </w:t>
      </w:r>
      <w:r>
        <w:rPr>
          <w:b/>
          <w:bCs/>
        </w:rPr>
        <w:t xml:space="preserve">„Agents of Care“</w:t>
      </w:r>
      <w:r>
        <w:t xml:space="preserve">, deren Handeln primär durch Empathie und das Wohl der Nachbarschaft motiviert zu sein scheint.</w:t>
      </w:r>
    </w:p>
    <w:p>
      <w:pPr>
        <w:pStyle w:val="BodyText"/>
      </w:pPr>
      <w:r>
        <w:t xml:space="preserve">Schaut man jedoch durch die theoretische Linse von Perron et al. (2005), offenbart sich eine weitaus komplexere Realität. Für die lokale Bevölkerung transformiert sich der „Agent of Care“ oft in einen</w:t>
      </w:r>
      <w:r>
        <w:t xml:space="preserve"> </w:t>
      </w:r>
      <w:r>
        <w:rPr>
          <w:b/>
          <w:bCs/>
        </w:rPr>
        <w:t xml:space="preserve">„Agent of the State“</w:t>
      </w:r>
      <w:r>
        <w:t xml:space="preserve">. In vielen ländlichen Regionen des globalen Südens oder in informellen städtischen Siedlungen ist der Staat durch eine chronische Abwesenheit von Infrastruktur, Sicherheit und sozialen Dienstleistungen gekennzeichnet. Wenn dann jedoch ein CHW in offizieller Uniform erscheint, mit einem digitalen Erfassungsgerät (Tablet) ausgestattet ist und beginnt, intime Daten über die Fortpflanzung, die Ernährungsgewohnheiten oder die Hygiene innerhalb des privaten Wohnraums zu erheben, wird dies als Akt staatlicher Überwachung wahrgenommen.</w:t>
      </w:r>
    </w:p>
    <w:p>
      <w:pPr>
        <w:pStyle w:val="BodyText"/>
      </w:pPr>
      <w:r>
        <w:rPr>
          <w:b/>
          <w:bCs/>
        </w:rPr>
        <w:t xml:space="preserve">Tabelle 2: Die Rollenambivalenz der CHWs (nach Perron et al. 2005)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Merkmal</w:t>
            </w:r>
          </w:p>
        </w:tc>
        <w:tc>
          <w:tcPr/>
          <w:p>
            <w:pPr>
              <w:pStyle w:val="Compact"/>
              <w:jc w:val="left"/>
            </w:pPr>
            <w:r>
              <w:t xml:space="preserve">Agent of Care (Selbstbild)</w:t>
            </w:r>
          </w:p>
        </w:tc>
        <w:tc>
          <w:tcPr/>
          <w:p>
            <w:pPr>
              <w:pStyle w:val="Compact"/>
              <w:jc w:val="left"/>
            </w:pPr>
            <w:r>
              <w:t xml:space="preserve">Agent of the State (Fremdbild)</w:t>
            </w:r>
          </w:p>
        </w:tc>
      </w:tr>
      <w:tr>
        <w:tc>
          <w:tcPr/>
          <w:p>
            <w:pPr>
              <w:pStyle w:val="Compact"/>
              <w:jc w:val="left"/>
            </w:pPr>
            <w:r>
              <w:rPr>
                <w:b/>
                <w:bCs/>
              </w:rPr>
              <w:t xml:space="preserve">Funktion</w:t>
            </w:r>
          </w:p>
        </w:tc>
        <w:tc>
          <w:tcPr/>
          <w:p>
            <w:pPr>
              <w:pStyle w:val="Compact"/>
              <w:jc w:val="left"/>
            </w:pPr>
            <w:r>
              <w:t xml:space="preserve">Unterstützung, Heilung</w:t>
            </w:r>
          </w:p>
        </w:tc>
        <w:tc>
          <w:tcPr/>
          <w:p>
            <w:pPr>
              <w:pStyle w:val="Compact"/>
              <w:jc w:val="left"/>
            </w:pPr>
            <w:r>
              <w:t xml:space="preserve">Überwachung, Disziplinierung</w:t>
            </w:r>
          </w:p>
        </w:tc>
      </w:tr>
      <w:tr>
        <w:tc>
          <w:tcPr/>
          <w:p>
            <w:pPr>
              <w:pStyle w:val="Compact"/>
              <w:jc w:val="left"/>
            </w:pPr>
            <w:r>
              <w:rPr>
                <w:b/>
                <w:bCs/>
              </w:rPr>
              <w:t xml:space="preserve">Werkzeug</w:t>
            </w:r>
          </w:p>
        </w:tc>
        <w:tc>
          <w:tcPr/>
          <w:p>
            <w:pPr>
              <w:pStyle w:val="Compact"/>
              <w:jc w:val="left"/>
            </w:pPr>
            <w:r>
              <w:t xml:space="preserve">Beratung, Behandlung</w:t>
            </w:r>
          </w:p>
        </w:tc>
        <w:tc>
          <w:tcPr/>
          <w:p>
            <w:pPr>
              <w:pStyle w:val="Compact"/>
              <w:jc w:val="left"/>
            </w:pPr>
            <w:r>
              <w:t xml:space="preserve">Tablets, Uniform, Datenerfassung</w:t>
            </w:r>
          </w:p>
        </w:tc>
      </w:tr>
      <w:tr>
        <w:tc>
          <w:tcPr/>
          <w:p>
            <w:pPr>
              <w:pStyle w:val="Compact"/>
              <w:jc w:val="left"/>
            </w:pPr>
            <w:r>
              <w:rPr>
                <w:b/>
                <w:bCs/>
              </w:rPr>
              <w:t xml:space="preserve">Raum</w:t>
            </w:r>
          </w:p>
        </w:tc>
        <w:tc>
          <w:tcPr/>
          <w:p>
            <w:pPr>
              <w:pStyle w:val="Compact"/>
              <w:jc w:val="left"/>
            </w:pPr>
            <w:r>
              <w:t xml:space="preserve">Sicherer Hafen (Klinik)</w:t>
            </w:r>
          </w:p>
        </w:tc>
        <w:tc>
          <w:tcPr/>
          <w:p>
            <w:pPr>
              <w:pStyle w:val="Compact"/>
              <w:jc w:val="left"/>
            </w:pPr>
            <w:r>
              <w:t xml:space="preserve">Eindringen in den Privatraum</w:t>
            </w:r>
          </w:p>
        </w:tc>
      </w:tr>
      <w:tr>
        <w:tc>
          <w:tcPr/>
          <w:p>
            <w:pPr>
              <w:pStyle w:val="Compact"/>
              <w:jc w:val="left"/>
            </w:pPr>
            <w:r>
              <w:rPr>
                <w:b/>
                <w:bCs/>
              </w:rPr>
              <w:t xml:space="preserve">Machtform</w:t>
            </w:r>
          </w:p>
        </w:tc>
        <w:tc>
          <w:tcPr/>
          <w:p>
            <w:pPr>
              <w:pStyle w:val="Compact"/>
              <w:jc w:val="left"/>
            </w:pPr>
            <w:r>
              <w:t xml:space="preserve">Pastorale Macht (Fürsorge)</w:t>
            </w:r>
          </w:p>
        </w:tc>
        <w:tc>
          <w:tcPr/>
          <w:p>
            <w:pPr>
              <w:pStyle w:val="Compact"/>
              <w:jc w:val="left"/>
            </w:pPr>
            <w:r>
              <w:t xml:space="preserve">Biomacht (Normalisierung)</w:t>
            </w:r>
          </w:p>
        </w:tc>
      </w:tr>
    </w:tbl>
    <w:p>
      <w:pPr>
        <w:pStyle w:val="BodyText"/>
      </w:pPr>
      <w:r>
        <w:t xml:space="preserve">Die Gesundheitsmaßnahme verliert in diesem Moment ihren rein altruistischen Charakter und wird zum Instrument der Disziplinierung. Wie Perron et al. (2005) ausführen, verleiht der Staat dem Gesundheitspersonal eine Autorität, die darauf abzielt, normative Verhaltensweisen zu exekutieren. Der CHW wird zum sichtbaren Repräsentanten einer Biomacht, die sich den Zugriff auf den individuellen Körper sichert, während sie gleichzeitig die strukturellen Ursachen der Armut ignoriert. Widerstand gegen CHWs ist in diesem Sinne oft kein medizinisches Misstrauen, sondern ein politischer Akt der Selbstbehauptung gegen eine wahrgenommene staatliche Übergriffigkeit.</w:t>
      </w:r>
    </w:p>
    <w:bookmarkEnd w:id="21"/>
    <w:bookmarkStart w:id="22" w:name="X6f1f4d4334e7827b9e5eba0a7c23db6d9f90b2a"/>
    <w:p>
      <w:pPr>
        <w:pStyle w:val="Heading2"/>
      </w:pPr>
      <w:r>
        <w:t xml:space="preserve">3.2 Die Hierarchie des Wissens: Epistemische Ungerechtigkeit</w:t>
      </w:r>
    </w:p>
    <w:p>
      <w:pPr>
        <w:pStyle w:val="FirstParagraph"/>
      </w:pPr>
      <w:r>
        <w:t xml:space="preserve">Ein weiterer, oft subtilerer Machtfaktor in CHS ist die</w:t>
      </w:r>
      <w:r>
        <w:t xml:space="preserve"> </w:t>
      </w:r>
      <w:r>
        <w:rPr>
          <w:b/>
          <w:bCs/>
        </w:rPr>
        <w:t xml:space="preserve">epistemische Ungerechtigkeit</w:t>
      </w:r>
      <w:r>
        <w:t xml:space="preserve">. Dieser Begriff beschreibt eine Form der Diskriminierung, bei der das Wissen und die Zeugnisse bestimmter Personengruppen aufgrund von Vorurteilen abgewertet oder als unglaubwürdig eingestuft werden. In der Global Health Architektur zeigt sich dies in einer strikten Hierarchie: An der Spitze steht die westlich-biomedizinische Epistemologie, die auf quantitativen Daten, randomisierten Studien und technokratischen Standards basiert. Das lokale, oft erfahrungsbasierte Wissen der Gemeinschaften wird hingegen als „traditionell“, „unwissenschaftlich“ oder gar als Hindernis für den Fortschritt marginalisiert.</w:t>
      </w:r>
    </w:p>
    <w:p>
      <w:pPr>
        <w:pStyle w:val="BodyText"/>
      </w:pPr>
      <w:r>
        <w:t xml:space="preserve">Diese Abwertung führt zu einem Phänomen, das soziologisch als „Epistemizid“ bezeichnet werden kann – die systematische Zerstörung oder Unterdrückung lokaler Wissenssysteme. Wenn Global Health Programme Top-Down entworfen werden, ohne die kulturellen Deutungsmuster von Krankheit und Gesundheit vor Ort zu integrieren, erleben die Menschen dies als intellektuelle Kolonialisierung. Widerstand gegen Gesundheitsmaßnahmen fungiert hier als Abwehrmechanismus, um die eigene kulturelle Identität und die Deutungshoheit über das eigene Leben zu verteidigen. Wie Kane et al. (2016) betonen, fühlen sich auch die CHWs selbst oft in diesem System gefangen: Sie müssen Wissen vermitteln, das sie selbst oft nur oberflächlich adaptiert haben, während ihr eigenes Verständnis der lokalen Probleme im offiziellen Reporting keinen Platz findet.</w:t>
      </w:r>
    </w:p>
    <w:bookmarkEnd w:id="22"/>
    <w:bookmarkStart w:id="23" w:name="Xd11a04677d0c05965434e82c7153b371b03ec99"/>
    <w:p>
      <w:pPr>
        <w:pStyle w:val="Heading2"/>
      </w:pPr>
      <w:r>
        <w:t xml:space="preserve">3.3 Die Architektur der Überwachung: Surveillance als Disziplinierung</w:t>
      </w:r>
    </w:p>
    <w:p>
      <w:pPr>
        <w:pStyle w:val="FirstParagraph"/>
      </w:pPr>
      <w:r>
        <w:t xml:space="preserve">Abschließend muss die technische Dimension der Macht betrachtet werden. Die zunehmende Digitalisierung der CHS (mHealth) hat die Überwachungsmöglichkeiten massiv ausgeweitet. Die ständige Erfassung von GPS-Daten und Echtzeit-Reporting-Systemen dient nicht nur der Qualitätssicherung, sondern etabliert eine Form des „Panoptismus“ (Foucault). Der CHW steht unter dem ständigen Blick des Systems, und dieser Blick wird über den CHW an den Patienten weitergereicht.</w:t>
      </w:r>
    </w:p>
    <w:p>
      <w:pPr>
        <w:pStyle w:val="BodyText"/>
      </w:pPr>
      <w:r>
        <w:t xml:space="preserve">In einer Umgebung, die von Misstrauen gegenüber staatlichen Institutionen geprägt ist, wirkt diese Transparenz nicht vertrauensbildend, sondern bedrohlich. Die „mortification“ des Selbst (Goffman), also die Entpersönlichung des Individuums zu einem bloßen Datenpunkt in einer Excel-Tabelle, provoziert eine psychologische Reaktanz. Widerstand ist in dieser Konstellation die einzige Möglichkeit der Zielgruppe, ihre agency zurückzugewinnen und sich dem totalen Zugriff des biopolitischen Apparates zu entziehen.</w:t>
      </w:r>
    </w:p>
    <w:p>
      <w:r>
        <w:pict>
          <v:rect style="width:0;height:1.5pt" o:hralign="center" o:hrstd="t" o:hr="t"/>
        </w:pict>
      </w:r>
    </w:p>
    <w:bookmarkEnd w:id="23"/>
    <w:bookmarkEnd w:id="24"/>
    <w:bookmarkStart w:id="28" w:name="X335da26512fc1efc7b917fb4108ebda6b92ad26"/>
    <w:p>
      <w:pPr>
        <w:pStyle w:val="Heading1"/>
      </w:pPr>
      <w:r>
        <w:t xml:space="preserve">4. Widerstand als diagnostisches Feedback-Instrument</w:t>
      </w:r>
    </w:p>
    <w:p>
      <w:pPr>
        <w:pStyle w:val="FirstParagraph"/>
      </w:pPr>
      <w:r>
        <w:t xml:space="preserve">In der traditionellen Public-Health-Forschung wird Widerstand gegen gesundheitliche Interventionen fast ausschließlich als Problem oder Hindernis wahrgenommen, das es zu überwinden gilt. Dieses Kapitel schlägt eine radikale Umdeutung vor: Widerstand ist kein Zeichen von Defiziten aufseiten der Bevölkerung, sondern das wertvollste diagnostische Instrument für Systementwickler. Er ist das „Fieberthermometer“ eines falsch designten Gesundheitssystems.</w:t>
      </w:r>
    </w:p>
    <w:bookmarkStart w:id="25" w:name="X82aa727abfc29f8481e82009c925258d58516c4"/>
    <w:p>
      <w:pPr>
        <w:pStyle w:val="Heading2"/>
      </w:pPr>
      <w:r>
        <w:t xml:space="preserve">4.1 Dekonstruktion der „Non-Compliance“: Eine analytische Sackgasse</w:t>
      </w:r>
    </w:p>
    <w:p>
      <w:pPr>
        <w:pStyle w:val="FirstParagraph"/>
      </w:pPr>
      <w:r>
        <w:t xml:space="preserve">Der Begriff der „Non-Compliance“ (oder mangelnde Therapietreue) ist in der medizinischen Soziologie zutiefst umstritten. Er basiert auf einer asymmetrischen Sichtweise, in der das Gesundheitssystem die Rolle des rationalen Akteurs einnimmt, während der Patient als passives Objekt betrachtet wird, das lediglich Instruktionen zu befolgen hat. Wenn ein Patient die Anweisungen nicht befolgt, wird dies pathologisiert. Man unterstellt ihm Unwissenheit, kulturelle Sturheit oder schlichte Irrationalität.</w:t>
      </w:r>
    </w:p>
    <w:p>
      <w:pPr>
        <w:pStyle w:val="BodyText"/>
      </w:pPr>
      <w:r>
        <w:t xml:space="preserve">Diese Sichtweise ist jedoch eine analytische Sackgasse. Sie verschleiert die Tatsache, dass das sogenannte „Fehlverhalten“ oft eine hochrationale Antwort auf strukturelle Barrieren ist. Indem wir von „Non-Compliance“ sprechen, entlasten wir die Programmentwickler von der notwendigen Selbstkritik. Wir fragen nicht mehr: „Was stimmt mit unserem System nicht?“, sondern nur noch: „Was stimmt mit dem Patienten nicht?“.</w:t>
      </w:r>
    </w:p>
    <w:p>
      <w:pPr>
        <w:pStyle w:val="BodyText"/>
      </w:pPr>
      <w:r>
        <w:t xml:space="preserve">Widerstand sollte stattdessen als Ausdruck von</w:t>
      </w:r>
      <w:r>
        <w:t xml:space="preserve"> </w:t>
      </w:r>
      <w:r>
        <w:rPr>
          <w:b/>
          <w:bCs/>
        </w:rPr>
        <w:t xml:space="preserve">Agency</w:t>
      </w:r>
      <w:r>
        <w:t xml:space="preserve"> </w:t>
      </w:r>
      <w:r>
        <w:t xml:space="preserve">begriffen werden. Agency beschreibt die Fähigkeit des Individuums, innerhalb gegebener Strukturen aktiv zu handeln und Entscheidungen zu treffen, die dem eigenen Wohl (innerhalb der eigenen Lebensweltlogik) am dienlichsten sind. Wenn Menschen eine Maßnahme ablehnen, tun sie dies nicht aus Trotz, sondern weil die Maßnahme in ihrer aktuellen Form einen negativen Nutzen für sie darstellt – etwa durch unzumutbare Opportunitätskosten oder die Bedrohung ihrer sozialen Identität.</w:t>
      </w:r>
    </w:p>
    <w:bookmarkEnd w:id="25"/>
    <w:bookmarkStart w:id="26" w:name="X9f7be4e60148eb00ce0332e6232370cdaf5f0db"/>
    <w:p>
      <w:pPr>
        <w:pStyle w:val="Heading2"/>
      </w:pPr>
      <w:r>
        <w:t xml:space="preserve">4.2 Widerstand als wertvolles Datensignal für den „Lack of Fit“</w:t>
      </w:r>
    </w:p>
    <w:p>
      <w:pPr>
        <w:pStyle w:val="FirstParagraph"/>
      </w:pPr>
      <w:r>
        <w:t xml:space="preserve">Wenn wir Widerstand entpathologisieren, transformiert er sich in ein präzises Datensignal. Er ist die rote Flagge auf dem Dashboard des Global Health Managements, die einen „Lack of Fit“ – eine mangelnde Passung – anzeigt. Widerstand signalisiert uns präzise, an welchem Punkt die technokratische Systemlogik die Verbindung zur realen Lebenswelt verloren hat.</w:t>
      </w:r>
    </w:p>
    <w:p>
      <w:pPr>
        <w:pStyle w:val="BodyText"/>
      </w:pPr>
      <w:r>
        <w:rPr>
          <w:b/>
          <w:bCs/>
        </w:rPr>
        <w:t xml:space="preserve">Visualisierung: Der diagnostische Feedback-Zirkel</w:t>
      </w:r>
    </w:p>
    <w:p>
      <w:pPr>
        <w:pStyle w:val="SourceCode"/>
      </w:pPr>
      <w:r>
        <w:rPr>
          <w:rStyle w:val="VerbatimChar"/>
        </w:rPr>
        <w:t xml:space="preserve">       [ 1. INTERVENTION ]</w:t>
      </w:r>
      <w:r>
        <w:br/>
      </w:r>
      <w:r>
        <w:rPr>
          <w:rStyle w:val="VerbatimChar"/>
        </w:rPr>
        <w:t xml:space="preserve">               |</w:t>
      </w:r>
      <w:r>
        <w:br/>
      </w:r>
      <w:r>
        <w:rPr>
          <w:rStyle w:val="VerbatimChar"/>
        </w:rPr>
        <w:t xml:space="preserve">               v</w:t>
      </w:r>
      <w:r>
        <w:br/>
      </w:r>
      <w:r>
        <w:rPr>
          <w:rStyle w:val="VerbatimChar"/>
        </w:rPr>
        <w:t xml:space="preserve">       [ 2. LACK OF FIT ]  &lt;-- (Diskrepanz: System vs. Realität)</w:t>
      </w:r>
      <w:r>
        <w:br/>
      </w:r>
      <w:r>
        <w:rPr>
          <w:rStyle w:val="VerbatimChar"/>
        </w:rPr>
        <w:t xml:space="preserve">               |</w:t>
      </w:r>
      <w:r>
        <w:br/>
      </w:r>
      <w:r>
        <w:rPr>
          <w:rStyle w:val="VerbatimChar"/>
        </w:rPr>
        <w:t xml:space="preserve">               v</w:t>
      </w:r>
      <w:r>
        <w:br/>
      </w:r>
      <w:r>
        <w:rPr>
          <w:rStyle w:val="VerbatimChar"/>
        </w:rPr>
        <w:t xml:space="preserve">       [ 3. WIDERSTAND ]   &lt;-- (Zweckentfremdung/Ablehnung)</w:t>
      </w:r>
      <w:r>
        <w:br/>
      </w:r>
      <w:r>
        <w:rPr>
          <w:rStyle w:val="VerbatimChar"/>
        </w:rPr>
        <w:t xml:space="preserve">               |</w:t>
      </w:r>
      <w:r>
        <w:br/>
      </w:r>
      <w:r>
        <w:rPr>
          <w:rStyle w:val="VerbatimChar"/>
        </w:rPr>
        <w:t xml:space="preserve">               v</w:t>
      </w:r>
      <w:r>
        <w:br/>
      </w:r>
      <w:r>
        <w:rPr>
          <w:rStyle w:val="VerbatimChar"/>
        </w:rPr>
        <w:t xml:space="preserve">    [ 4. SIGNAL-ANALYSE ]  &lt;-- (Widerstand als DIAGNOSE nutzen!)</w:t>
      </w:r>
      <w:r>
        <w:br/>
      </w:r>
      <w:r>
        <w:rPr>
          <w:rStyle w:val="VerbatimChar"/>
        </w:rPr>
        <w:t xml:space="preserve">               |</w:t>
      </w:r>
      <w:r>
        <w:br/>
      </w:r>
      <w:r>
        <w:rPr>
          <w:rStyle w:val="VerbatimChar"/>
        </w:rPr>
        <w:t xml:space="preserve">               v</w:t>
      </w:r>
      <w:r>
        <w:br/>
      </w:r>
      <w:r>
        <w:rPr>
          <w:rStyle w:val="VerbatimChar"/>
        </w:rPr>
        <w:t xml:space="preserve">      [ 5. ADAPTATION ]    &lt;-- (System an Lebenswelt anpassen)</w:t>
      </w:r>
    </w:p>
    <w:p>
      <w:pPr>
        <w:pStyle w:val="FirstParagraph"/>
      </w:pPr>
      <w:r>
        <w:t xml:space="preserve">Anstatt Widerstand durch verstärkte „Edukation“ brechen zu wollen, muss die korrekte Antwort des Managements die Analyse der Ursachen sein. Widerstand liefert Informationen, die kein noch so gut designter Fragebogen erfassen kann, da er das tatsächliche Handeln der Menschen in Extremsituationen widerspiegelt.</w:t>
      </w:r>
    </w:p>
    <w:bookmarkEnd w:id="26"/>
    <w:bookmarkStart w:id="27" w:name="X0772c601bde14416d350c823923e937e005a3f4"/>
    <w:p>
      <w:pPr>
        <w:pStyle w:val="Heading2"/>
      </w:pPr>
      <w:r>
        <w:t xml:space="preserve">4.3 Statistische Evidenz: Das 5-Faktoren-Modell (Mahmoodi et al. 2023)</w:t>
      </w:r>
    </w:p>
    <w:p>
      <w:pPr>
        <w:pStyle w:val="FirstParagraph"/>
      </w:pPr>
      <w:r>
        <w:t xml:space="preserve">Die These, dass Widerstand primär strukturell und nicht individuell bedingt ist, wird durch aktuelle quantitative Studien gestützt. Mahmoodi et al. (2023) haben mittels der Q-Methodologie die Perspektiven von Gesundheitsexperten analysiert, um die Barrieren für die Partizipation in Gesundheitsprogrammen zu identifizieren.</w:t>
      </w:r>
    </w:p>
    <w:p>
      <w:pPr>
        <w:pStyle w:val="BodyText"/>
      </w:pPr>
      <w:r>
        <w:rPr>
          <w:b/>
          <w:bCs/>
        </w:rPr>
        <w:t xml:space="preserve">Tabelle 4: Die statistische Evidenz der Widerstandsbarrieren (Mahmoodi et al. 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Rang</w:t>
            </w:r>
          </w:p>
        </w:tc>
        <w:tc>
          <w:tcPr/>
          <w:p>
            <w:pPr>
              <w:pStyle w:val="Compact"/>
              <w:jc w:val="left"/>
            </w:pPr>
            <w:r>
              <w:t xml:space="preserve">Faktor</w:t>
            </w:r>
          </w:p>
        </w:tc>
        <w:tc>
          <w:tcPr/>
          <w:p>
            <w:pPr>
              <w:pStyle w:val="Compact"/>
              <w:jc w:val="left"/>
            </w:pPr>
            <w:r>
              <w:t xml:space="preserve">Erklärte Varianz</w:t>
            </w:r>
          </w:p>
        </w:tc>
        <w:tc>
          <w:tcPr/>
          <w:p>
            <w:pPr>
              <w:pStyle w:val="Compact"/>
              <w:jc w:val="left"/>
            </w:pPr>
            <w:r>
              <w:t xml:space="preserve">Kern-Aussage</w:t>
            </w:r>
          </w:p>
        </w:tc>
      </w:tr>
      <w:tr>
        <w:tc>
          <w:tcPr/>
          <w:p>
            <w:pPr>
              <w:pStyle w:val="Compact"/>
              <w:jc w:val="left"/>
            </w:pPr>
            <w:r>
              <w:rPr>
                <w:b/>
                <w:bCs/>
              </w:rPr>
              <w:t xml:space="preserve">1</w:t>
            </w:r>
          </w:p>
        </w:tc>
        <w:tc>
          <w:tcPr/>
          <w:p>
            <w:pPr>
              <w:pStyle w:val="Compact"/>
              <w:jc w:val="left"/>
            </w:pPr>
            <w:r>
              <w:rPr>
                <w:b/>
                <w:bCs/>
              </w:rPr>
              <w:t xml:space="preserve">Institutionelles Misstrauen</w:t>
            </w:r>
          </w:p>
        </w:tc>
        <w:tc>
          <w:tcPr/>
          <w:p>
            <w:pPr>
              <w:pStyle w:val="Compact"/>
              <w:jc w:val="left"/>
            </w:pPr>
            <w:r>
              <w:rPr>
                <w:b/>
                <w:bCs/>
              </w:rPr>
              <w:t xml:space="preserve">28%</w:t>
            </w:r>
          </w:p>
        </w:tc>
        <w:tc>
          <w:tcPr/>
          <w:p>
            <w:pPr>
              <w:pStyle w:val="Compact"/>
              <w:jc w:val="left"/>
            </w:pPr>
            <w:r>
              <w:t xml:space="preserve">Der Staat ist das Hauptproblem, nicht der Patient.</w:t>
            </w:r>
          </w:p>
        </w:tc>
      </w:tr>
      <w:tr>
        <w:tc>
          <w:tcPr/>
          <w:p>
            <w:pPr>
              <w:pStyle w:val="Compact"/>
              <w:jc w:val="left"/>
            </w:pPr>
            <w:r>
              <w:rPr>
                <w:b/>
                <w:bCs/>
              </w:rPr>
              <w:t xml:space="preserve">2</w:t>
            </w:r>
          </w:p>
        </w:tc>
        <w:tc>
          <w:tcPr/>
          <w:p>
            <w:pPr>
              <w:pStyle w:val="Compact"/>
              <w:jc w:val="left"/>
            </w:pPr>
            <w:r>
              <w:t xml:space="preserve">Programm-Design / Anreize</w:t>
            </w:r>
          </w:p>
        </w:tc>
        <w:tc>
          <w:tcPr/>
          <w:p>
            <w:pPr>
              <w:pStyle w:val="Compact"/>
              <w:jc w:val="left"/>
            </w:pPr>
            <w:r>
              <w:t xml:space="preserve">8%</w:t>
            </w:r>
          </w:p>
        </w:tc>
        <w:tc>
          <w:tcPr/>
          <w:p>
            <w:pPr>
              <w:pStyle w:val="Compact"/>
              <w:jc w:val="left"/>
            </w:pPr>
            <w:r>
              <w:t xml:space="preserve">Programme lohnen sich ökonomisch nicht.</w:t>
            </w:r>
          </w:p>
        </w:tc>
      </w:tr>
      <w:tr>
        <w:tc>
          <w:tcPr/>
          <w:p>
            <w:pPr>
              <w:pStyle w:val="Compact"/>
              <w:jc w:val="left"/>
            </w:pPr>
            <w:r>
              <w:rPr>
                <w:b/>
                <w:bCs/>
              </w:rPr>
              <w:t xml:space="preserve">3</w:t>
            </w:r>
          </w:p>
        </w:tc>
        <w:tc>
          <w:tcPr/>
          <w:p>
            <w:pPr>
              <w:pStyle w:val="Compact"/>
              <w:jc w:val="left"/>
            </w:pPr>
            <w:r>
              <w:t xml:space="preserve">Management-Skills</w:t>
            </w:r>
          </w:p>
        </w:tc>
        <w:tc>
          <w:tcPr/>
          <w:p>
            <w:pPr>
              <w:pStyle w:val="Compact"/>
              <w:jc w:val="left"/>
            </w:pPr>
            <w:r>
              <w:t xml:space="preserve">8%</w:t>
            </w:r>
          </w:p>
        </w:tc>
        <w:tc>
          <w:tcPr/>
          <w:p>
            <w:pPr>
              <w:pStyle w:val="Compact"/>
              <w:jc w:val="left"/>
            </w:pPr>
            <w:r>
              <w:t xml:space="preserve">Behörden arbeiten unkoordiniert.</w:t>
            </w:r>
          </w:p>
        </w:tc>
      </w:tr>
      <w:tr>
        <w:tc>
          <w:tcPr/>
          <w:p>
            <w:pPr>
              <w:pStyle w:val="Compact"/>
              <w:jc w:val="left"/>
            </w:pPr>
            <w:r>
              <w:rPr>
                <w:b/>
                <w:bCs/>
              </w:rPr>
              <w:t xml:space="preserve">4</w:t>
            </w:r>
          </w:p>
        </w:tc>
        <w:tc>
          <w:tcPr/>
          <w:p>
            <w:pPr>
              <w:pStyle w:val="Compact"/>
              <w:jc w:val="left"/>
            </w:pPr>
            <w:r>
              <w:t xml:space="preserve">Kulturelle Dissonanz</w:t>
            </w:r>
          </w:p>
        </w:tc>
        <w:tc>
          <w:tcPr/>
          <w:p>
            <w:pPr>
              <w:pStyle w:val="Compact"/>
              <w:jc w:val="left"/>
            </w:pPr>
            <w:r>
              <w:t xml:space="preserve">7%</w:t>
            </w:r>
          </w:p>
        </w:tc>
        <w:tc>
          <w:tcPr/>
          <w:p>
            <w:pPr>
              <w:pStyle w:val="Compact"/>
              <w:jc w:val="left"/>
            </w:pPr>
            <w:r>
              <w:t xml:space="preserve">Kultur ist wichtig, aber nicht dominant.</w:t>
            </w:r>
          </w:p>
        </w:tc>
      </w:tr>
      <w:tr>
        <w:tc>
          <w:tcPr/>
          <w:p>
            <w:pPr>
              <w:pStyle w:val="Compact"/>
              <w:jc w:val="left"/>
            </w:pPr>
            <w:r>
              <w:rPr>
                <w:b/>
                <w:bCs/>
              </w:rPr>
              <w:t xml:space="preserve">5</w:t>
            </w:r>
          </w:p>
        </w:tc>
        <w:tc>
          <w:tcPr/>
          <w:p>
            <w:pPr>
              <w:pStyle w:val="Compact"/>
              <w:jc w:val="left"/>
            </w:pPr>
            <w:r>
              <w:t xml:space="preserve">Transparenzdefizite</w:t>
            </w:r>
          </w:p>
        </w:tc>
        <w:tc>
          <w:tcPr/>
          <w:p>
            <w:pPr>
              <w:pStyle w:val="Compact"/>
              <w:jc w:val="left"/>
            </w:pPr>
            <w:r>
              <w:t xml:space="preserve">6%</w:t>
            </w:r>
          </w:p>
        </w:tc>
        <w:tc>
          <w:tcPr/>
          <w:p>
            <w:pPr>
              <w:pStyle w:val="Compact"/>
              <w:jc w:val="left"/>
            </w:pPr>
            <w:r>
              <w:t xml:space="preserve">Unklare Rollen und Ressourcenflüsse.</w:t>
            </w:r>
          </w:p>
        </w:tc>
      </w:tr>
    </w:tbl>
    <w:p>
      <w:pPr>
        <w:pStyle w:val="BodyText"/>
      </w:pPr>
      <w:r>
        <w:t xml:space="preserve">Diese Daten beweisen eindrücklich: Widerstand ist kein Bildungsproblem. Wenn fast ein Drittel des Scheiterns auf institutionelles Misstrauen zurückzuführen ist, dann ist Widerstand eine absolut rationale politische Reaktion. Wer den Widerstand verringern will, muss nicht die Köpfe der Menschen ändern, sondern die Strukturen des Systems.</w:t>
      </w:r>
    </w:p>
    <w:p>
      <w:r>
        <w:pict>
          <v:rect style="width:0;height:1.5pt" o:hralign="center" o:hrstd="t" o:hr="t"/>
        </w:pict>
      </w:r>
    </w:p>
    <w:bookmarkEnd w:id="27"/>
    <w:bookmarkEnd w:id="28"/>
    <w:bookmarkStart w:id="32" w:name="Xe13eab9f2dabdbad18c4920bd5b059c9f6639c6"/>
    <w:p>
      <w:pPr>
        <w:pStyle w:val="Heading1"/>
      </w:pPr>
      <w:r>
        <w:t xml:space="preserve">5. Fallstudie: Moskitonetz-Intervention in Uganda</w:t>
      </w:r>
    </w:p>
    <w:p>
      <w:pPr>
        <w:pStyle w:val="FirstParagraph"/>
      </w:pPr>
      <w:r>
        <w:t xml:space="preserve">Um die theoretischen Überlegungen der vorangegangenen Kapitel (Machtasymmetrien, Biomacht, diagnostisches Feedback) zu validieren, bedarf es einer empirischen Erdung. Die Distribution von insektizid-behandelten Moskitonetzen (ITNs) in Uganda, insbesondere in den Regionen am Victoriasee, gilt als eines der paradigmatischsten Beispiele für das Scheitern globaler Gesundheitsstrategien aufgrund eines mangelnden „Lack of Fit“.</w:t>
      </w:r>
    </w:p>
    <w:bookmarkStart w:id="29" w:name="die-ökonomische-realität-am-victoriasee"/>
    <w:p>
      <w:pPr>
        <w:pStyle w:val="Heading2"/>
      </w:pPr>
      <w:r>
        <w:t xml:space="preserve">5.1 Die ökonomische Realität am Victoriasee</w:t>
      </w:r>
    </w:p>
    <w:p>
      <w:pPr>
        <w:pStyle w:val="FirstParagraph"/>
      </w:pPr>
      <w:r>
        <w:t xml:space="preserve">Die Uferregionen des Victoriasees sind geprägt von einer hohen Malaria-Endemizität und gleichzeitig von extremer ökonomischer Prekarität. Die Mehrheit der Bevölkerung lebt von der kleinteiligen Fischerei oder Subsistenzwirtschaft. In diesem Kontext starteten internationale Geberorganisationen (u.a. der Global Fund und die WHO) massive Kampagnen zur Verteilung von ITNs.</w:t>
      </w:r>
    </w:p>
    <w:p>
      <w:pPr>
        <w:pStyle w:val="BodyText"/>
      </w:pPr>
      <w:r>
        <w:rPr>
          <w:b/>
          <w:bCs/>
        </w:rPr>
        <w:t xml:space="preserve">Tabelle 3: Kosten-Nutzen-Analyse des Fischers (Uganda)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Faktor</w:t>
            </w:r>
          </w:p>
        </w:tc>
        <w:tc>
          <w:tcPr/>
          <w:p>
            <w:pPr>
              <w:pStyle w:val="Compact"/>
              <w:jc w:val="left"/>
            </w:pPr>
            <w:r>
              <w:t xml:space="preserve">Perspektive Global Health</w:t>
            </w:r>
          </w:p>
        </w:tc>
        <w:tc>
          <w:tcPr/>
          <w:p>
            <w:pPr>
              <w:pStyle w:val="Compact"/>
              <w:jc w:val="left"/>
            </w:pPr>
            <w:r>
              <w:t xml:space="preserve">Perspektive Fischer (Uganda)</w:t>
            </w:r>
          </w:p>
        </w:tc>
      </w:tr>
      <w:tr>
        <w:tc>
          <w:tcPr/>
          <w:p>
            <w:pPr>
              <w:pStyle w:val="Compact"/>
              <w:jc w:val="left"/>
            </w:pPr>
            <w:r>
              <w:rPr>
                <w:b/>
                <w:bCs/>
              </w:rPr>
              <w:t xml:space="preserve">Ressource</w:t>
            </w:r>
          </w:p>
        </w:tc>
        <w:tc>
          <w:tcPr/>
          <w:p>
            <w:pPr>
              <w:pStyle w:val="Compact"/>
              <w:jc w:val="left"/>
            </w:pPr>
            <w:r>
              <w:t xml:space="preserve">Moskitonetz (Medizinprodukt)</w:t>
            </w:r>
          </w:p>
        </w:tc>
        <w:tc>
          <w:tcPr/>
          <w:p>
            <w:pPr>
              <w:pStyle w:val="Compact"/>
              <w:jc w:val="left"/>
            </w:pPr>
            <w:r>
              <w:t xml:space="preserve">Moskitonetz (Produktionsmittel)</w:t>
            </w:r>
          </w:p>
        </w:tc>
      </w:tr>
      <w:tr>
        <w:tc>
          <w:tcPr/>
          <w:p>
            <w:pPr>
              <w:pStyle w:val="Compact"/>
              <w:jc w:val="left"/>
            </w:pPr>
            <w:r>
              <w:rPr>
                <w:b/>
                <w:bCs/>
              </w:rPr>
              <w:t xml:space="preserve">Bedrohung</w:t>
            </w:r>
          </w:p>
        </w:tc>
        <w:tc>
          <w:tcPr/>
          <w:p>
            <w:pPr>
              <w:pStyle w:val="Compact"/>
              <w:jc w:val="left"/>
            </w:pPr>
            <w:r>
              <w:t xml:space="preserve">Malaria (abstrakt/zukünftig)</w:t>
            </w:r>
          </w:p>
        </w:tc>
        <w:tc>
          <w:tcPr/>
          <w:p>
            <w:pPr>
              <w:pStyle w:val="Compact"/>
              <w:jc w:val="left"/>
            </w:pPr>
            <w:r>
              <w:t xml:space="preserve">Hunger (konkret/unmittelbar)</w:t>
            </w:r>
          </w:p>
        </w:tc>
      </w:tr>
      <w:tr>
        <w:tc>
          <w:tcPr/>
          <w:p>
            <w:pPr>
              <w:pStyle w:val="Compact"/>
              <w:jc w:val="left"/>
            </w:pPr>
            <w:r>
              <w:rPr>
                <w:b/>
                <w:bCs/>
              </w:rPr>
              <w:t xml:space="preserve">Handlung</w:t>
            </w:r>
          </w:p>
        </w:tc>
        <w:tc>
          <w:tcPr/>
          <w:p>
            <w:pPr>
              <w:pStyle w:val="Compact"/>
              <w:jc w:val="left"/>
            </w:pPr>
            <w:r>
              <w:t xml:space="preserve">Schlafen unter dem Netz</w:t>
            </w:r>
          </w:p>
        </w:tc>
        <w:tc>
          <w:tcPr/>
          <w:p>
            <w:pPr>
              <w:pStyle w:val="Compact"/>
              <w:jc w:val="left"/>
            </w:pPr>
            <w:r>
              <w:t xml:space="preserve">Fischen mit dem Netz</w:t>
            </w:r>
          </w:p>
        </w:tc>
      </w:tr>
      <w:tr>
        <w:tc>
          <w:tcPr/>
          <w:p>
            <w:pPr>
              <w:pStyle w:val="Compact"/>
              <w:jc w:val="left"/>
            </w:pPr>
            <w:r>
              <w:rPr>
                <w:b/>
                <w:bCs/>
              </w:rPr>
              <w:t xml:space="preserve">Bewertung</w:t>
            </w:r>
          </w:p>
        </w:tc>
        <w:tc>
          <w:tcPr/>
          <w:p>
            <w:pPr>
              <w:pStyle w:val="Compact"/>
              <w:jc w:val="left"/>
            </w:pPr>
            <w:r>
              <w:t xml:space="preserve">Irrationales Verhalten</w:t>
            </w:r>
          </w:p>
        </w:tc>
        <w:tc>
          <w:tcPr/>
          <w:p>
            <w:pPr>
              <w:pStyle w:val="Compact"/>
              <w:jc w:val="left"/>
            </w:pPr>
            <w:r>
              <w:t xml:space="preserve">Rationale Überlebensstrategie</w:t>
            </w:r>
          </w:p>
        </w:tc>
      </w:tr>
    </w:tbl>
    <w:p>
      <w:pPr>
        <w:pStyle w:val="BodyText"/>
      </w:pPr>
      <w:r>
        <w:t xml:space="preserve">Aus Sicht des Global Health Managements (Systemlogik) ist ein ITN ein rein medizinisches Präventionsinstrument. Die Kosten-Nutzen-Rechnung des Systems ist simpel: Die Verteilung eines Netzes kostet wenige Dollar, verhindert aber potenzielle Krankheitskosten und Arbeitsausfälle in der Zukunft. Widerstand gegen diese logische Maßnahme scheint aus dieser Perspektive absurd.</w:t>
      </w:r>
    </w:p>
    <w:bookmarkEnd w:id="29"/>
    <w:bookmarkStart w:id="30" w:name="der-lack-of-fit-hunger-vs.-malaria"/>
    <w:p>
      <w:pPr>
        <w:pStyle w:val="Heading2"/>
      </w:pPr>
      <w:r>
        <w:t xml:space="preserve">5.2 Der „Lack of Fit“: Hunger vs. Malaria</w:t>
      </w:r>
    </w:p>
    <w:p>
      <w:pPr>
        <w:pStyle w:val="FirstParagraph"/>
      </w:pPr>
      <w:r>
        <w:t xml:space="preserve">Schaut man jedoch durch die Brille der Lebensweltlogik, offenbart sich ein brutales Dilemma. Für einen Fischer am Victoriasee existiert eine Hierarchie der Bedrohungen. Malaria ist eine Gefahr, die zwar allgegenwärtig ist, aber oft als statistisches Risiko in der Zukunft wahrgenommen wird. Es ist eine Krankheit, die man vielleicht bekommt, die man aber auch überleben kann.</w:t>
      </w:r>
    </w:p>
    <w:p>
      <w:pPr>
        <w:pStyle w:val="BodyText"/>
      </w:pPr>
      <w:r>
        <w:t xml:space="preserve">Demgegenüber steht die Bedrohung durch Hunger. Hunger ist nicht abstrakt; er ist eine akute, unmittelbare körperliche Realität im Hier und Jetzt. Wer heute keinen Fisch fängt, kann heute seine Kinder nicht ernähren. In dieser Situation erhält das Moskitonetz eine gänzlich neue Bedeutung: Es ist nicht länger ein Medizinprodukt, sondern</w:t>
      </w:r>
      <w:r>
        <w:t xml:space="preserve"> </w:t>
      </w:r>
      <w:r>
        <w:rPr>
          <w:b/>
          <w:bCs/>
        </w:rPr>
        <w:t xml:space="preserve">Produktionskapital</w:t>
      </w:r>
      <w:r>
        <w:t xml:space="preserve">.</w:t>
      </w:r>
    </w:p>
    <w:bookmarkEnd w:id="30"/>
    <w:bookmarkStart w:id="31" w:name="X906219249c3751130055118c3932f56d2c402d6"/>
    <w:p>
      <w:pPr>
        <w:pStyle w:val="Heading2"/>
      </w:pPr>
      <w:r>
        <w:t xml:space="preserve">5.3 Widerstand als Feedback für fehlende Ernährungssicherheit</w:t>
      </w:r>
    </w:p>
    <w:p>
      <w:pPr>
        <w:pStyle w:val="FirstParagraph"/>
      </w:pPr>
      <w:r>
        <w:t xml:space="preserve">Die offizielle Reaktion der Gesundheitsbehörden auf diese Zweckentfremdung war klassisch biopolitisch geprägt: Kriminalisierung und verstärkte Edukation. In Uganda wurden Polizeikontrollen durchgeführt, um die Netze in die Schlafzimmer zu zwingen, und es wurden Kampagnen gestartet, die den Menschen die Gefahren der Malaria noch einmal erklärten.</w:t>
      </w:r>
    </w:p>
    <w:p>
      <w:pPr>
        <w:pStyle w:val="BodyText"/>
      </w:pPr>
      <w:r>
        <w:t xml:space="preserve">Doch diese Maßnahmen ignorierten das diagnostische Signal des Widerstands. Die Zweckentfremdung der Netze war der lauteste Hinweis darauf, dass die Intervention ein medizinisches Problem (Malaria) isoliert von der sozioökonomischen Gesamtsituation (Armut und Hunger) lösen wollte. Widerstand fungierte hier als</w:t>
      </w:r>
      <w:r>
        <w:t xml:space="preserve"> </w:t>
      </w:r>
      <w:r>
        <w:rPr>
          <w:b/>
          <w:bCs/>
        </w:rPr>
        <w:t xml:space="preserve">diagnostisches Instrument</w:t>
      </w:r>
      <w:r>
        <w:t xml:space="preserve">, das aufzeigte:</w:t>
      </w:r>
    </w:p>
    <w:p>
      <w:pPr>
        <w:pStyle w:val="Compact"/>
        <w:numPr>
          <w:ilvl w:val="0"/>
          <w:numId w:val="1003"/>
        </w:numPr>
      </w:pPr>
      <w:r>
        <w:t xml:space="preserve">Dass die Prioritäten des Global Health Systems nicht mit den Prioritäten der Zielgruppe übereinstimmten.</w:t>
      </w:r>
    </w:p>
    <w:p>
      <w:pPr>
        <w:pStyle w:val="Compact"/>
        <w:numPr>
          <w:ilvl w:val="0"/>
          <w:numId w:val="1003"/>
        </w:numPr>
      </w:pPr>
      <w:r>
        <w:t xml:space="preserve">Dass eine reine Gesundheitsintervention ohne Flankierung durch ökonomische Unterstützung oder Ernährungssicherung zwangsläufig scheitern muss.</w:t>
      </w:r>
    </w:p>
    <w:p>
      <w:r>
        <w:pict>
          <v:rect style="width:0;height:1.5pt" o:hralign="center" o:hrstd="t" o:hr="t"/>
        </w:pict>
      </w:r>
    </w:p>
    <w:bookmarkEnd w:id="31"/>
    <w:bookmarkEnd w:id="32"/>
    <w:bookmarkStart w:id="36" w:name="diskussion-und-handlungsempfehlungen"/>
    <w:p>
      <w:pPr>
        <w:pStyle w:val="Heading1"/>
      </w:pPr>
      <w:r>
        <w:t xml:space="preserve">6. Diskussion und Handlungsempfehlungen</w:t>
      </w:r>
    </w:p>
    <w:p>
      <w:pPr>
        <w:pStyle w:val="FirstParagraph"/>
      </w:pPr>
      <w:r>
        <w:t xml:space="preserve">Die vorangegangene Analyse verdeutlicht, dass das Scheitern globaler Gesundheitsprogramme kein Zufallsprodukt ist, sondern ein strukturelles Resultat falscher Designentscheidungen. Dieses Kapitel diskutiert die notwendigen Konsequenzen für das Global Health Management.</w:t>
      </w:r>
    </w:p>
    <w:bookmarkStart w:id="33" w:name="Xa01d25cf5f3c9007a65e5ffd254b0899c93b495"/>
    <w:p>
      <w:pPr>
        <w:pStyle w:val="Heading2"/>
      </w:pPr>
      <w:r>
        <w:t xml:space="preserve">6.1 Die Grenzen der Edukation: Warum Wissen keine Strukturprobleme löst</w:t>
      </w:r>
    </w:p>
    <w:p>
      <w:pPr>
        <w:pStyle w:val="FirstParagraph"/>
      </w:pPr>
      <w:r>
        <w:t xml:space="preserve">Der Standardreflex internationaler Organisationen auf Widerstand ist fast ausnahmslos die Intensivierung von Informationskampagnen. Doch Wissen allein löst keine materiellen Strukturprobleme. Wer Widerstand ernsthaft reduzieren will, muss aufhören, die Zielgruppe als „unwissend“ zu stigmatisieren, und stattdessen anfangen, die ökonomischen und sozialen Determinanten (Social Determinants of Health) zu adressieren.</w:t>
      </w:r>
    </w:p>
    <w:bookmarkEnd w:id="33"/>
    <w:bookmarkStart w:id="34" w:name="X97907e9f124d6b14840a8abff7c6ed73f4d65d0"/>
    <w:p>
      <w:pPr>
        <w:pStyle w:val="Heading2"/>
      </w:pPr>
      <w:r>
        <w:t xml:space="preserve">6.2 Co-Creation: Vom Instrumentalismus zum Empowerment</w:t>
      </w:r>
    </w:p>
    <w:p>
      <w:pPr>
        <w:pStyle w:val="FirstParagraph"/>
      </w:pPr>
      <w:r>
        <w:t xml:space="preserve">Eine zentrale Handlungsempfehlung ist der Übergang von einer rein instrumentellen Partizipation hin zu einer echten</w:t>
      </w:r>
      <w:r>
        <w:t xml:space="preserve"> </w:t>
      </w:r>
      <w:r>
        <w:rPr>
          <w:b/>
          <w:bCs/>
        </w:rPr>
        <w:t xml:space="preserve">Co-Creation</w:t>
      </w:r>
      <w:r>
        <w:t xml:space="preserve">. Partizipation darf nicht bedeuten, dass die Community lediglich die „letzte Meile“ der Implementierung übernimmt. Echte Co-Creation bedeutet, dass die Zielgruppe bereits in der Planungsphase als gleichberechtigte Partnerin an der Definition der Ziele beteiligt wird.</w:t>
      </w:r>
    </w:p>
    <w:bookmarkEnd w:id="34"/>
    <w:bookmarkStart w:id="35" w:name="Xd57cdb01660f87a242acb9c3c5a1ade697cb64e"/>
    <w:p>
      <w:pPr>
        <w:pStyle w:val="Heading2"/>
      </w:pPr>
      <w:r>
        <w:t xml:space="preserve">6.3 Die Rolle des „Empowered CHW“ als Agent of Social Change</w:t>
      </w:r>
    </w:p>
    <w:p>
      <w:pPr>
        <w:pStyle w:val="FirstParagraph"/>
      </w:pPr>
      <w:r>
        <w:t xml:space="preserve">Damit dieser Wandel gelingt, müssen die Community Health Workers selbst gestärkt werden. Kane et al. (2016) argumentieren, dass nur ein</w:t>
      </w:r>
      <w:r>
        <w:t xml:space="preserve"> </w:t>
      </w:r>
      <w:r>
        <w:rPr>
          <w:b/>
          <w:bCs/>
        </w:rPr>
        <w:t xml:space="preserve">empowerter CHW</w:t>
      </w:r>
      <w:r>
        <w:t xml:space="preserve"> </w:t>
      </w:r>
      <w:r>
        <w:t xml:space="preserve">auch die Gemeinschaft empowern kann. Ein empowered CHW benötigt echte Agency, wirtschaftliche Sicherheit und professionelle Anerkennung als vollwertiges Mitglied des Gesundheitsteams.</w:t>
      </w:r>
    </w:p>
    <w:p>
      <w:r>
        <w:pict>
          <v:rect style="width:0;height:1.5pt" o:hralign="center" o:hrstd="t" o:hr="t"/>
        </w:pict>
      </w:r>
    </w:p>
    <w:bookmarkEnd w:id="35"/>
    <w:bookmarkEnd w:id="36"/>
    <w:bookmarkStart w:id="37" w:name="fazit"/>
    <w:p>
      <w:pPr>
        <w:pStyle w:val="Heading1"/>
      </w:pPr>
      <w:r>
        <w:t xml:space="preserve">7. Fazit</w:t>
      </w:r>
    </w:p>
    <w:p>
      <w:pPr>
        <w:pStyle w:val="FirstParagraph"/>
      </w:pPr>
      <w:r>
        <w:t xml:space="preserve">Die vorliegende Hausarbeit hatte zum Ziel, das Phänomen des Widerstands in Community Health Systems (CHS) theoretisch zu dekonstruieren und empirisch zu validieren. Dabei wurde die zentrale These verfolgt, dass Widerstand kein Zeichen von Unwissenheit oder individueller „Non-Compliance“ ist, sondern als hochrationales Feedback-Signal auf einen strukturellen „Lack of Fit“ zwischen Systemlogik und Lebenswelt hinweist.</w:t>
      </w:r>
    </w:p>
    <w:p>
      <w:pPr>
        <w:pStyle w:val="BodyText"/>
      </w:pPr>
      <w:r>
        <w:t xml:space="preserve">Widerstandsphänomene sind untrennbar mit den Machtasymmetrien der globalen Gesundheitsarchitektur verknüpft. Durch die theoretische Linse der</w:t>
      </w:r>
      <w:r>
        <w:t xml:space="preserve"> </w:t>
      </w:r>
      <w:r>
        <w:rPr>
          <w:b/>
          <w:bCs/>
        </w:rPr>
        <w:t xml:space="preserve">Biomacht</w:t>
      </w:r>
      <w:r>
        <w:t xml:space="preserve"> </w:t>
      </w:r>
      <w:r>
        <w:t xml:space="preserve">konnte nachgewiesen werden, dass Gesundheitsinterventionen oft als Instrumente der Disziplinierung wahrgenommen werden. Die statistische Evidenz (Mahmoodi et al. 2023) beweist, dass institutionelles Misstrauen die größte Barriere darstellt.</w:t>
      </w:r>
    </w:p>
    <w:p>
      <w:pPr>
        <w:pStyle w:val="BodyText"/>
      </w:pPr>
      <w:r>
        <w:t xml:space="preserve">Für die zukünftige Gestaltung von Global Health Programmen ergibt sich daraus die zwingende Notwendigkeit eines Paradigmenwechsels. Weg von paternalistischen Top-Down-Ansätzen, hin zu einer systemischen Adaptation und echter Co-Creation. Gesundheitsprogramme müssen lernen, Widerstand nicht als Hindernis zu bekämpfen, sondern als Ressource des Verstehens zu nutzen. Nur so kann Global Health ihrem eigenen Anspruch gerecht werden, das Leben in seiner ganzen Komplexität und Würde zu schützen.</w:t>
      </w:r>
    </w:p>
    <w:p>
      <w:r>
        <w:pict>
          <v:rect style="width:0;height:1.5pt" o:hralign="center" o:hrstd="t" o:hr="t"/>
        </w:pict>
      </w:r>
    </w:p>
    <w:bookmarkEnd w:id="37"/>
    <w:bookmarkStart w:id="38" w:name="literaturverzeichnis"/>
    <w:p>
      <w:pPr>
        <w:pStyle w:val="Heading1"/>
      </w:pPr>
      <w:r>
        <w:t xml:space="preserve">08. Literaturverzeichnis</w:t>
      </w:r>
    </w:p>
    <w:p>
      <w:pPr>
        <w:pStyle w:val="FirstParagraph"/>
      </w:pPr>
      <w:r>
        <w:t xml:space="preserve">Dreyfus, H. L., &amp; Rabinow, P. (1982).</w:t>
      </w:r>
      <w:r>
        <w:t xml:space="preserve"> </w:t>
      </w:r>
      <w:r>
        <w:rPr>
          <w:i/>
          <w:iCs/>
        </w:rPr>
        <w:t xml:space="preserve">Michel Foucault: Beyond Structuralism and Hermeneutics</w:t>
      </w:r>
      <w:r>
        <w:t xml:space="preserve">. Chicago: University of Chicago Press.</w:t>
      </w:r>
    </w:p>
    <w:p>
      <w:pPr>
        <w:pStyle w:val="BodyText"/>
      </w:pPr>
      <w:r>
        <w:t xml:space="preserve">Foucault, M. (1976).</w:t>
      </w:r>
      <w:r>
        <w:t xml:space="preserve"> </w:t>
      </w:r>
      <w:r>
        <w:rPr>
          <w:i/>
          <w:iCs/>
        </w:rPr>
        <w:t xml:space="preserve">Der Wille zum Wissen: Sexualität und Wahrheit 1</w:t>
      </w:r>
      <w:r>
        <w:t xml:space="preserve">. Frankfurt am Main: Suhrkamp.</w:t>
      </w:r>
    </w:p>
    <w:p>
      <w:pPr>
        <w:pStyle w:val="BodyText"/>
      </w:pPr>
      <w:r>
        <w:t xml:space="preserve">Habermas, J. (1981).</w:t>
      </w:r>
      <w:r>
        <w:t xml:space="preserve"> </w:t>
      </w:r>
      <w:r>
        <w:rPr>
          <w:i/>
          <w:iCs/>
        </w:rPr>
        <w:t xml:space="preserve">Theorie des kommunikativen Handelns</w:t>
      </w:r>
      <w:r>
        <w:t xml:space="preserve">. Frankfurt am Main: Suhrkamp.</w:t>
      </w:r>
    </w:p>
    <w:p>
      <w:pPr>
        <w:pStyle w:val="BodyText"/>
      </w:pPr>
      <w:r>
        <w:t xml:space="preserve">Kane, S., Kok, M., Ormel, H., Otiso, L., Sidat, M., Namakhoma, I., Nasir, S., Gemechu, D., Rashid, S., Taegtmeyer, M., Theobald, S., &amp; de Koning, K. (2016). Limits and opportunities to community health worker empowerment: A multi-country comparative study.</w:t>
      </w:r>
      <w:r>
        <w:t xml:space="preserve"> </w:t>
      </w:r>
      <w:r>
        <w:rPr>
          <w:i/>
          <w:iCs/>
        </w:rPr>
        <w:t xml:space="preserve">Social Science &amp; Medicine</w:t>
      </w:r>
      <w:r>
        <w:t xml:space="preserve">, 164, 27–34.</w:t>
      </w:r>
    </w:p>
    <w:p>
      <w:pPr>
        <w:pStyle w:val="BodyText"/>
      </w:pPr>
      <w:r>
        <w:t xml:space="preserve">Perron, A., Fluet, C., &amp; Holmes, D. (2005). Agents of care and agents of the state: Bio-power and nursing practice.</w:t>
      </w:r>
      <w:r>
        <w:t xml:space="preserve"> </w:t>
      </w:r>
      <w:r>
        <w:rPr>
          <w:i/>
          <w:iCs/>
        </w:rPr>
        <w:t xml:space="preserve">Journal of Advanced Nursing</w:t>
      </w:r>
      <w:r>
        <w:t xml:space="preserve">, 50(5), 536–544.</w:t>
      </w:r>
    </w:p>
    <w:p>
      <w:pPr>
        <w:pStyle w:val="BodyText"/>
      </w:pPr>
      <w:r>
        <w:t xml:space="preserve">Rachlis, B., Naanyu, V., Wachira, J., Genberg, B., Koech, B., Kamene, R., Keter, A., Chang, P., Ayuo, P., Braitstein, P., &amp; Cohen, C. R. (2016). Community Perceptions of Community Health Workers (CHWs) and Their Roles in Management for HIV, Tuberculosis and Hypertension in Western Kenya.</w:t>
      </w:r>
      <w:r>
        <w:t xml:space="preserve"> </w:t>
      </w:r>
      <w:r>
        <w:rPr>
          <w:i/>
          <w:iCs/>
        </w:rPr>
        <w:t xml:space="preserve">PLoS ONE</w:t>
      </w:r>
      <w:r>
        <w:t xml:space="preserve">, 11(2), e0149412.</w:t>
      </w:r>
    </w:p>
    <w:p>
      <w:pPr>
        <w:pStyle w:val="BodyText"/>
      </w:pPr>
      <w:r>
        <w:t xml:space="preserve">World Health Organization (2023).</w:t>
      </w:r>
      <w:r>
        <w:t xml:space="preserve"> </w:t>
      </w:r>
      <w:r>
        <w:rPr>
          <w:i/>
          <w:iCs/>
        </w:rPr>
        <w:t xml:space="preserve">Community health systems: leverage points for health systems strengthening</w:t>
      </w:r>
      <w:r>
        <w:t xml:space="preserve">. Geneva: World Health Organization.</w:t>
      </w:r>
    </w:p>
    <w:p>
      <w:r>
        <w:pict>
          <v:rect style="width:0;height:1.5pt" o:hralign="center" o:hrstd="t" o:hr="t"/>
        </w:pict>
      </w:r>
    </w:p>
    <w:bookmarkEnd w:id="38"/>
    <w:bookmarkStart w:id="39" w:name="eigenständigkeitserklärung"/>
    <w:p>
      <w:pPr>
        <w:pStyle w:val="Heading1"/>
      </w:pPr>
      <w:r>
        <w:t xml:space="preserve">Eigenständigkeitserklärung</w:t>
      </w:r>
    </w:p>
    <w:p>
      <w:pPr>
        <w:pStyle w:val="FirstParagraph"/>
      </w:pPr>
      <w:r>
        <w:t xml:space="preserve">Ich versichere hiermit, dass ich die vorliegende Hausarbeit selbstständig verfasst und keine anderen als die angegebenen Quellen und Hilfsmittel benutzt habe.</w:t>
      </w:r>
    </w:p>
    <w:p>
      <w:pPr>
        <w:pStyle w:val="BodyText"/>
      </w:pPr>
      <w:r>
        <w:rPr>
          <w:b/>
          <w:bCs/>
        </w:rPr>
        <w:t xml:space="preserve">Ort, Datum:</w:t>
      </w:r>
      <w:r>
        <w:br/>
      </w:r>
      <w:r>
        <w:t xml:space="preserve">Furtwangen, 02. Februar 2026</w:t>
      </w:r>
    </w:p>
    <w:p>
      <w:pPr>
        <w:pStyle w:val="BodyText"/>
      </w:pPr>
      <w:r>
        <w:rPr>
          <w:b/>
          <w:bCs/>
        </w:rPr>
        <w:t xml:space="preserve">Unterschrift:</w:t>
      </w:r>
      <w:r>
        <w:br/>
      </w:r>
      <w:r>
        <w:t xml:space="preserve">Andreas Braxmeier</w:t>
      </w:r>
      <w:r>
        <w:br/>
      </w:r>
      <w:r>
        <w:t xml:space="preserve">Matrikelnummer: 268250</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HAUSARBEIT_GESAMT_BRAXMEIER_FINAL</dc:title>
  <dc:creator/>
  <cp:keywords/>
  <dcterms:created xsi:type="dcterms:W3CDTF">2026-02-02T15:03:25Z</dcterms:created>
  <dcterms:modified xsi:type="dcterms:W3CDTF">2026-02-02T15:03:25Z</dcterms:modified>
</cp:coreProperties>
</file>

<file path=docProps/custom.xml><?xml version="1.0" encoding="utf-8"?>
<Properties xmlns="http://schemas.openxmlformats.org/officeDocument/2006/custom-properties" xmlns:vt="http://schemas.openxmlformats.org/officeDocument/2006/docPropsVTypes"/>
</file>