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Problema D: Producto escalar mínimo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Base name: minimo.java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ck31oxjma02" w:id="0"/>
      <w:bookmarkEnd w:id="0"/>
      <w:r w:rsidDel="00000000" w:rsidR="00000000" w:rsidRPr="00000000">
        <w:rPr>
          <w:rtl w:val="0"/>
        </w:rPr>
        <w:t xml:space="preserve">Autor: Juan Sebastián Prada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Para este ejercicio usted deberá calcular es producto escalar mínimo entre dos vectores A y B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el producto escalar entre dos vectores A y B se calcula como: 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61598" cy="165326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598" cy="165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Para este ejercicio usted cambiar el orden de los elementos de A Y B de tal manera que al realizar el producto escalar este sea el mínimo.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entrada consiste en un número N al inicio indicando el número de casos de prueba.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por cada caso sigue un número L indicando el tamaño de los vectores.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Luego siguen dos líneas con L, 0&lt;L&lt;100 números V separados por espacios indicando los vectores A y B, -100&lt;V&lt;100.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Los dos vectores siempre tendrán el mismo tamaño.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Para la salida se imprimirá únicamente el resultado del escalar.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8"/>
        <w:gridCol w:w="4560"/>
        <w:tblGridChange w:id="0">
          <w:tblGrid>
            <w:gridCol w:w="5628"/>
            <w:gridCol w:w="45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1 1 1 1 1 1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1 1 1 1 1 1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1 2 3 4 5 6</w:t>
            </w:r>
          </w:p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1 2 3 4 5 6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2" name="image03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jpg"/></Relationships>
</file>