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OnBoard Pro — Tablero de KPIs del proyecto</w:t>
      </w:r>
    </w:p>
    <w:p>
      <w:pPr>
        <w:pStyle w:val="Heading2"/>
      </w:pPr>
      <w:r>
        <w:t xml:space="preserve">1. Ficha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4148"/>
        <w:gridCol w:w="5490"/>
      </w:tblGrid>
      <w:tr>
        <w:trPr>
          <w:cantSplit/>
          <w:tblHeader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Producto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Plataforma de onboarding corporativo multiempresa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Equipo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Sergio Angel, Brayan Miranda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Sprints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11 · semanales, de viernes a viernes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Inicio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28/8/2026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Entrega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20/11/2026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Alcance del MVP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226 SP · 64 historias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Suma de los pronósticos por sprint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235 SP · 67 historias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Diferencia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HU-034 y HU-036 (6 SP) se pronosticaron en los sprints 5 y 6, y HU-058 (3 SP) en los sprints 7 y 8, porque no cerraron en el primero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Post-MVP en backlog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66 SP · 29 historias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Último sprint cerrado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8 · 16/10 – 23/10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en curso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9 · 23/10 – 30/10</w:t>
            </w:r>
          </w:p>
        </w:tc>
      </w:tr>
      <w:tr>
        <w:trPr>
          <w:cantSplit/>
        </w:trPr>
        <w:tc>
          <w:tcPr>
            <w:tcW w:w="41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Estabilización y entrega</w:t>
            </w:r>
          </w:p>
        </w:tc>
        <w:tc>
          <w:tcPr>
            <w:tcW w:w="549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13/11 – 20/11</w:t>
            </w:r>
          </w:p>
        </w:tc>
      </w:tr>
    </w:tbl>
    <w:p/>
    <w:p>
      <w:pPr>
        <w:pStyle w:val="Heading2"/>
      </w:pPr>
      <w:r>
        <w:t xml:space="preserve">2. KPIs del proyecto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3883"/>
        <w:gridCol w:w="4027"/>
        <w:gridCol w:w="1726"/>
      </w:tblGrid>
      <w:tr>
        <w:trPr>
          <w:cantSplit/>
          <w:tblHeader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Valor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Se actualiza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Sprints cerrados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8 de 11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Avance del MVP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154 de 226 SP · 68%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Historias entregadas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45 de 49 comprometidas · 92%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Velocidad promedio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19,3 SP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Velocidad últimos 3 sprints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26,7 SP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Pronóstico cumplido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92% · 154 de 168 SP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Sprints al 100%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5 de 8 · 63%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Mejor sprint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6 · 29 SP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  <w:tr>
        <w:trPr>
          <w:cantSplit/>
        </w:trPr>
        <w:tc>
          <w:tcPr>
            <w:tcW w:w="388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 restantes</w:t>
            </w:r>
          </w:p>
        </w:tc>
        <w:tc>
          <w:tcPr>
            <w:tcW w:w="402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72 en 3 sprints</w:t>
            </w:r>
          </w:p>
        </w:tc>
        <w:tc>
          <w:tcPr>
            <w:tcW w:w="172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Cada sprint</w:t>
            </w:r>
          </w:p>
        </w:tc>
      </w:tr>
    </w:tbl>
    <w:p/>
    <w:p>
      <w:pPr>
        <w:pStyle w:val="Heading2"/>
      </w:pPr>
      <w:r>
        <w:t xml:space="preserve">3. Avance por sprint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1482"/>
        <w:gridCol w:w="1070"/>
        <w:gridCol w:w="906"/>
        <w:gridCol w:w="1832"/>
        <w:gridCol w:w="1318"/>
        <w:gridCol w:w="1153"/>
        <w:gridCol w:w="576"/>
        <w:gridCol w:w="741"/>
        <w:gridCol w:w="560"/>
      </w:tblGrid>
      <w:tr>
        <w:trPr>
          <w:cantSplit/>
          <w:tblHeader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Sprint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Fechas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Estado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Historias plan / hechas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SP pronosticados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SP completados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Acumulado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Bugs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28/8 – 4/9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5 / 5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4/9 – 11/9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 / 3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19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11/9 – 18/9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 / 6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44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18/9 – 25/9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 / 4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17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17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61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25/9 – 2/10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7 / 5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19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68%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74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2/10 – 9/10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9 / 9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103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9/10 – 16/10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8 / 7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90%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130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16/10 – 23/10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Cerrado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7 / 6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83%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154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4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23/10 – 30/10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En curso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 / —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30/10 – 6/11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Planificado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7 / —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6/11 – 13/11</w:t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Planificado</w:t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5 / —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17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Cerrados (1–8)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/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/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49 / 45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168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154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92%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154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19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Todos (1–11)</w:t>
            </w:r>
          </w:p>
        </w:tc>
        <w:tc>
          <w:tcPr>
            <w:tcW w:w="107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/>
            </w:r>
          </w:p>
        </w:tc>
        <w:tc>
          <w:tcPr>
            <w:tcW w:w="90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 xml:space="preserve"/>
            </w:r>
          </w:p>
        </w:tc>
        <w:tc>
          <w:tcPr>
            <w:tcW w:w="183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67 / 45</w:t>
            </w:r>
          </w:p>
        </w:tc>
        <w:tc>
          <w:tcPr>
            <w:tcW w:w="131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235</w:t>
            </w:r>
          </w:p>
        </w:tc>
        <w:tc>
          <w:tcPr>
            <w:tcW w:w="1153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154</w:t>
            </w:r>
          </w:p>
        </w:tc>
        <w:tc>
          <w:tcPr>
            <w:tcW w:w="57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66%</w:t>
            </w:r>
          </w:p>
        </w:tc>
        <w:tc>
          <w:tcPr>
            <w:tcW w:w="741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154</w:t>
            </w:r>
          </w:p>
        </w:tc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 xml:space="preserve">19</w:t>
            </w:r>
          </w:p>
        </w:tc>
      </w:tr>
    </w:tbl>
    <w:p/>
    <w:p>
      <w:pPr>
        <w:jc w:val="center"/>
        <w:spacing w:before="160" w:after="40"/>
      </w:pPr>
      <w:r>
        <w:drawing>
          <wp:inline xmlns:wp="http://schemas.openxmlformats.org/drawingml/2006/wordprocessingDrawing" distT="0" distB="0" distL="0" distR="0">
            <wp:extent cx="5577840" cy="3027970"/>
            <wp:docPr id="101" name="Grafica 10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Grafica 101"/>
                    <pic:cNvPicPr/>
                  </pic:nvPicPr>
                  <pic:blipFill>
                    <a:blip xmlns:r="http://schemas.openxmlformats.org/officeDocument/2006/relationships"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Velocidad por sprint: puntos pronosticados contra completados.</w:t>
      </w:r>
    </w:p>
    <w:p>
      <w:pPr>
        <w:jc w:val="center"/>
        <w:spacing w:before="160" w:after="40"/>
      </w:pPr>
      <w:r>
        <w:drawing>
          <wp:inline xmlns:wp="http://schemas.openxmlformats.org/drawingml/2006/wordprocessingDrawing" distT="0" distB="0" distL="0" distR="0">
            <wp:extent cx="5577840" cy="3027970"/>
            <wp:docPr id="102" name="Grafica 1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Grafica 102"/>
                    <pic:cNvPicPr/>
                  </pic:nvPicPr>
                  <pic:blipFill>
                    <a:blip xmlns:r="http://schemas.openxmlformats.org/officeDocument/2006/relationships"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Burn-up: avance acumulado contra el alcance total del MVP.</w:t>
      </w:r>
    </w:p>
    <w:p>
      <w:pPr>
        <w:pStyle w:val="Heading2"/>
      </w:pPr>
      <w:r>
        <w:t xml:space="preserve">4. KPIs de calidad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5745"/>
        <w:gridCol w:w="3892"/>
      </w:tblGrid>
      <w:tr>
        <w:trPr>
          <w:cantSplit/>
          <w:tblHeader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detectados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19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resueltos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18 · 95%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mitigados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abiertos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Densidad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0,12 por SP entregado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de integración (merge)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3 de 19 · 16%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Defectos de seguridad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7 de 19 · 37%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con más defectos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Sprints 6 y 8 · 4</w:t>
            </w:r>
          </w:p>
        </w:tc>
      </w:tr>
      <w:tr>
        <w:trPr>
          <w:cantSplit/>
        </w:trPr>
        <w:tc>
          <w:tcPr>
            <w:tcW w:w="5745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Resueltos en el mismo sprint</w:t>
            </w:r>
          </w:p>
        </w:tc>
        <w:tc>
          <w:tcPr>
            <w:tcW w:w="3892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18 de 19 · 95%</w:t>
            </w:r>
          </w:p>
        </w:tc>
      </w:tr>
    </w:tbl>
    <w:p/>
    <w:p>
      <w:pPr>
        <w:jc w:val="center"/>
        <w:spacing w:before="160" w:after="40"/>
      </w:pPr>
      <w:r>
        <w:drawing>
          <wp:inline xmlns:wp="http://schemas.openxmlformats.org/drawingml/2006/wordprocessingDrawing" distT="0" distB="0" distL="0" distR="0">
            <wp:extent cx="5577840" cy="3027970"/>
            <wp:docPr id="103" name="Grafica 10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Grafica 103"/>
                    <pic:cNvPicPr/>
                  </pic:nvPicPr>
                  <pic:blipFill>
                    <a:blip xmlns:r="http://schemas.openxmlformats.org/officeDocument/2006/relationships"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Defectos detectados en cada sprint.</w:t>
      </w:r>
    </w:p>
    <w:p>
      <w:pPr>
        <w:pStyle w:val="Heading2"/>
      </w:pPr>
      <w:r>
        <w:t xml:space="preserve">5. Bitácora de defectos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560"/>
        <w:gridCol w:w="760"/>
        <w:gridCol w:w="5656"/>
        <w:gridCol w:w="1648"/>
        <w:gridCol w:w="1014"/>
      </w:tblGrid>
      <w:tr>
        <w:trPr>
          <w:cantSplit/>
          <w:tblHeader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Sprint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Defecto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B-01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Los errores de validación se devolvían como 500 «Required» en lugar de 400 indicando el campo.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B-02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Varios endpoints no filtraban por organización: se podían consultar datos de otra empresa.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B-03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Rutas de grupos sin verificación de sesión.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B-04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Un administrador podía cambiar el rol de un superadministrador y el de usuarios de otra organización.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B-05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CORS rechazaba localhost y bloqueaba el desarrollo del frontend.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Configuración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B-06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8"/>
              </w:rPr>
              <w:t xml:space="preserve">PayloadTooLargeError</w:t>
            </w:r>
            <w:r>
              <w:rPr>
                <w:sz w:val="18"/>
              </w:rPr>
              <w:t xml:space="preserve"> al subir archivos: el frontend los enviaba en base64 dentro de un JSON.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B-07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8"/>
              </w:rPr>
              <w:t xml:space="preserve">deliverable: Expected boolean, received string</w:t>
            </w:r>
            <w:r>
              <w:rPr>
                <w:sz w:val="18"/>
              </w:rPr>
              <w:t xml:space="preserve"> al crear actividades por multipart.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B-08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TanStack en una versión con vulnerabilidad conocida.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Dependencias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B-09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Un examen devolvía las respuestas correctas al aprendiz que lo iba a rendir.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B-10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El XP se acreditaba al subir la entrega y no al aprobarla, y volver a aprobar duplicaba los puntos.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B-11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Actividades y exámenes editables por un instructor que no dictaba ese curso.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B-12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El límite del cuerpo JSON cortaba las entregas con comentarios largos.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B-13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Al mergear las ramas de entregas y de gamificación se perdió el registro de las rutas de entregas y los endpoints respondían 404.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Merge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B-14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La resolución de un conflicto en el esquema de la base dejó duplicada la definición de logros y el script de creación fallaba.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Merge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B-15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Un merge en la documentación de la API pisó los endpoints de material de apoyo, que dejaron de aparecer en Swagger.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Merge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B-16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El inicio de sesión con Microsoft aceptaba el campo «mail», que la persona puede cambiar: se podía entrar con la cuenta de otra.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B-17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Consultar un usuario por su id devolvía usuarios de otras organizaciones.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B-18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Una entrega aprobada podía volver a «rehacer», y enviarla dos veces respondía 500.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B-19</w:t>
            </w:r>
          </w:p>
        </w:tc>
        <w:tc>
          <w:tcPr>
            <w:tcW w:w="7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5656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El progreso de nivel mostraba datos de otro nivel («Nivel 3 · te faltan 55 para el nivel 4» con el XP del nivel 2).</w:t>
            </w:r>
          </w:p>
        </w:tc>
        <w:tc>
          <w:tcPr>
            <w:tcW w:w="164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101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Resuelto</w:t>
            </w:r>
          </w:p>
        </w:tc>
      </w:tr>
    </w:tbl>
    <w:p/>
    <w:p>
      <w:pPr>
        <w:pStyle w:val="Heading2"/>
      </w:pPr>
      <w:r>
        <w:t xml:space="preserve">6. Alcance por módulo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3504"/>
        <w:gridCol w:w="1204"/>
        <w:gridCol w:w="4928"/>
      </w:tblGrid>
      <w:tr>
        <w:trPr>
          <w:cantSplit/>
          <w:tblHeader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Estado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Falta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Autenticación y perfil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Contraseñas y límite de intentos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Organizaciones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Usuarios y roles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Carga masiva (HU-019)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Aislamiento entre organizaciones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Grupos e integrantes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Cursos y secciones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Actividades y material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Exámenes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Parcial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Banco de preguntas (HU-043)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Entregas y revisión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XP, niveles y ranking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Parcial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Tabla de niveles por organización (HU-053), antiabuso (HU-055)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Racha de días activos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Logros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Completo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5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Juegos</w:t>
            </w:r>
          </w:p>
        </w:tc>
        <w:tc>
          <w:tcPr>
            <w:tcW w:w="1204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Sin empezar</w:t>
            </w:r>
          </w:p>
        </w:tc>
        <w:tc>
          <w:tcPr>
            <w:tcW w:w="4928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HU-065, HU-067</w:t>
            </w:r>
          </w:p>
        </w:tc>
      </w:tr>
    </w:tbl>
    <w:p/>
    <w:p>
      <w:pPr>
        <w:pStyle w:val="Heading2"/>
      </w:pPr>
      <w:r>
        <w:t xml:space="preserve">7. Artefactos y rutas</w:t>
      </w:r>
    </w:p>
    <w:tbl>
      <w:tblPr>
        <w:tblW w:w="9638" w:type="dxa"/>
        <w:tblLayout w:type="fixed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3777"/>
        <w:gridCol w:w="5860"/>
      </w:tblGrid>
      <w:tr>
        <w:trPr>
          <w:cantSplit/>
          <w:tblHeader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Elemento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shd w:val="clear" w:fill="E8ECF4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8"/>
              </w:rPr>
              <w:t xml:space="preserve">Ubicación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Product Backlog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OnBoard Pro Historias de Usuario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Plan de sprints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OnBoard Pro Historias de Usuario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Definición de Hecho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OnBoard Pro Historias de Usuario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Métricas y gráficas editables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OnBoard Pro Historias de Usuario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Registro de defectos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OnBoard Pro Historias de Usuario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Review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Sprints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Plantilla de Sprint Review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Sprint Review (Plantilla)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Este informe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Informe general de avance.docx</w:t>
            </w:r>
          </w:p>
        </w:tc>
      </w:tr>
      <w:tr>
        <w:trPr>
          <w:cantSplit/>
        </w:trPr>
        <w:tc>
          <w:tcPr>
            <w:tcW w:w="3777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Tablero</w:t>
            </w:r>
          </w:p>
        </w:tc>
        <w:tc>
          <w:tcPr>
            <w:tcW w:w="5860" w:type="dxa"/>
            <w:tcBorders>
              <w:top w:val="single" w:sz="4" w:color="B4BFD4"/>
              <w:left w:val="single" w:sz="4" w:color="B4BFD4"/>
              <w:bottom w:val="single" w:sz="4" w:color="B4BFD4"/>
              <w:right w:val="single" w:sz="4" w:color="B4BFD4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 xml:space="preserve">https://onboard-pro.atlassian.net/jira/software/projects/OBP/summary</w:t>
            </w:r>
          </w:p>
        </w:tc>
      </w:tr>
    </w:tbl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styleId="Heading1">
    <w:name w:val="heading 1"/>
    <w:pPr>
      <w:keepNext/>
      <w:spacing w:before="240" w:after="120"/>
    </w:pPr>
    <w:rPr>
      <w:b/>
      <w:color w:val="1F3864"/>
      <w:sz w:val="36"/>
    </w:rPr>
  </w:style>
  <w:style w:type="paragraph" w:styleId="Heading2">
    <w:name w:val="heading 2"/>
    <w:pPr>
      <w:keepNext/>
      <w:spacing w:before="240" w:after="120"/>
    </w:pPr>
    <w:rPr>
      <w:b/>
      <w:color w:val="2E5496"/>
      <w:sz w:val="28"/>
    </w:rPr>
  </w:style>
  <w:style w:type="paragraph" w:styleId="Heading3">
    <w:name w:val="heading 3"/>
    <w:pPr>
      <w:keepNext/>
      <w:spacing w:before="240" w:after="120"/>
    </w:pPr>
    <w:rPr>
      <w:b/>
      <w:color w:val="2E5496"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img1.png"/><Relationship Id="rIdImg2" Type="http://schemas.openxmlformats.org/officeDocument/2006/relationships/image" Target="media/img2.png"/><Relationship Id="rIdImg3" Type="http://schemas.openxmlformats.org/officeDocument/2006/relationships/image" Target="media/img3.png"/></Relationships>
</file>