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/>
        <w:jc w:val="center"/>
      </w:pPr>
      <w:r>
        <w:rPr>
          <w:rFonts w:ascii="Google Sans" w:cs="Google Sans" w:eastAsia="Google Sans" w:hAnsi="Google Sans"/>
          <w:b/>
          <w:bCs/>
          <w:color w:val="1F1F1F"/>
          <w:sz w:val="40"/>
          <w:szCs w:val="40"/>
        </w:rPr>
        <w:t xml:space="preserve">Informe de pruebas unitarias – Proyecto OnBoard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Campo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Detalle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Número de Sprint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Sprint 2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Fechas del sprint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11/9/2026 – 12/9/2026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Fecha de ejecución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30/10/2026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Responsables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Sergio Angel, Brayan Miranda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Componente probado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Backend (Node.js + Express + Supabase)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Herramienta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node:test y node:assert, incluidos en Node.js 22. No agregan dependencias.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Cómo se ejecutan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node --test "tests/sprint-02/*.test.js" (o npm test para todos los sprints)</w:t>
            </w:r>
          </w:p>
        </w:tc>
      </w:tr>
      <w:tr>
        <w:trPr>
          <w:cantSplit/>
        </w:trPr>
        <w:tc>
          <w:tcPr>
            <w:tcW w:type="dxa" w:w="3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Aislamiento</w:t>
            </w:r>
          </w:p>
        </w:tc>
        <w:tc>
          <w:tcPr>
            <w:tcW w:type="dxa" w:w="6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Sin base real: se reemplaza Supabase por una base en memoria que cada prueba carga con sus propios datos. Sin red, correo ni almacenamiento real.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Historias del sprint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5560"/>
        <w:gridCol w:w="1000"/>
        <w:gridCol w:w="1400"/>
      </w:tblGrid>
      <w:tr>
        <w:trPr>
          <w:tblHeader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HU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Historia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SP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Casos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HU-001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Crear organización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5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HU-014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Crear usuario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</w:t>
            </w:r>
          </w:p>
        </w:tc>
      </w:tr>
      <w:tr>
        <w:trPr>
          <w:cantSplit/>
        </w:trPr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HU-002</w:t>
            </w:r>
          </w:p>
        </w:tc>
        <w:tc>
          <w:tcPr>
            <w:tcW w:type="dxa" w:w="55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Consultar organizaciones</w:t>
            </w:r>
          </w:p>
        </w:tc>
        <w:tc>
          <w:tcPr>
            <w:tcW w:type="dxa" w:w="10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  <w:tc>
          <w:tcPr>
            <w:tcW w:type="dxa" w:w="14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Resumen de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4160"/>
      </w:tblGrid>
      <w:tr>
        <w:trPr>
          <w:tblHeader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Métrica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Casos de prueba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15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Archivos de prueba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2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Aprobados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11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Fallidos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Pendientes (posible bug documentado)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% de aprobación (sin contar los pendientes)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Tiempo de ejecución</w:t>
            </w:r>
          </w:p>
        </w:tc>
        <w:tc>
          <w:tcPr>
            <w:tcW w:type="dxa" w:w="41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0,4 s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Cobertura de código</w:t>
      </w:r>
    </w:p>
    <w:p>
      <w:pPr>
        <w:spacing w:after="12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Medida con node --test --experimental-test-coverage sobre los archivos del backend que cargan las pruebas de este sprint. Los flujos que dependen de la base real no entran en estas pruebas unitarias.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1580"/>
        <w:gridCol w:w="1580"/>
        <w:gridCol w:w="1600"/>
      </w:tblGrid>
      <w:tr>
        <w:trPr>
          <w:tblHeader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Archivo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Líneas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Ramas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Funciones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middlewares/requireRole.js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schemas/tenantSchema.js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schemas/userSchemas.js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helpers/validacion.js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78%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100%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75%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services/tenantService.js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77%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92%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71%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controllers/tenantController.js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69%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89%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60%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services/userService.js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37%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92%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36%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services/authService.js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32%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40%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33%</w:t>
            </w:r>
          </w:p>
        </w:tc>
      </w:tr>
      <w:tr>
        <w:trPr>
          <w:cantSplit/>
        </w:trPr>
        <w:tc>
          <w:tcPr>
            <w:tcW w:type="dxa" w:w="4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controllers/userController.js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30%</w:t>
            </w:r>
          </w:p>
        </w:tc>
        <w:tc>
          <w:tcPr>
            <w:tcW w:type="dxa" w:w="158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91%</w:t>
            </w:r>
          </w:p>
        </w:tc>
        <w:tc>
          <w:tcPr>
            <w:tcW w:type="dxa" w:w="16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14%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Detalle de los casos</w:t>
      </w:r>
    </w:p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HU-001 · Crear organización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S2-01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una organización nueva queda activa, con id generado y el dominio en minúsculas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S2-02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nombre vacío o de más de 100 caracteres responde 400 indicando el campo, sin guardar nada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S2-03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solo el superadmin pasa el control de rol de organizaciones: admin recibe 403 y sin sesión 401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S2-04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sin dominio responde 400 con un mensaje que nombra el campo domain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S2-05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dominio que ya usa otra organización responde 409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Pendiente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HU-014 · Crear usuario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S2-09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admin crea un usuario en su empresa: 201, contraseña hasheada y nunca devuelta, rol aprendiz por defecto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S2-10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admin no puede crear un superadmin (403) y no se guarda nada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S2-11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superadmin elige la empresa del nuevo usuario y puede crear otros superadmins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S2-12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esquema rechaza correo inválido, rol fuera del catálogo y campos desconocidos con 400 indicando el campo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S2-13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endpoint responde 400 (no 500) cuando los datos del usuario son inválidos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S2-14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un correo que ya está registrado responde 409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Pendiente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S2-15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correo se guarda en minúsculas para que el usuario creado pueda entrar luego con Microsoft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spacing w:after="120" w:before="240"/>
      </w:pPr>
      <w:r>
        <w:rPr>
          <w:rFonts w:ascii="Google Sans" w:cs="Google Sans" w:eastAsia="Google Sans" w:hAnsi="Google Sans"/>
          <w:b/>
          <w:bCs/>
          <w:color w:val="1F1F1F"/>
          <w:sz w:val="21"/>
          <w:szCs w:val="21"/>
        </w:rPr>
        <w:t xml:space="preserve">HU-002 · Consultar organizaciones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6900"/>
        <w:gridCol w:w="1360"/>
      </w:tblGrid>
      <w:tr>
        <w:trPr>
          <w:tblHeader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ID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Qué se verifica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shd w:fill="F1F3F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/>
                <w:bCs/>
                <w:color w:val="1F1F1F"/>
                <w:sz w:val="20"/>
                <w:szCs w:val="20"/>
              </w:rPr>
              <w:t xml:space="preserve">Estado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S2-06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el listado trae todas las organizaciones, activas e inactivas, con createdAt en vez de created_at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S2-07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consultar una organización por id responde 200 si existe y 404 si no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  <w:tr>
        <w:trPr>
          <w:cantSplit/>
        </w:trPr>
        <w:tc>
          <w:tcPr>
            <w:tcW w:type="dxa" w:w="11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S2-08</w:t>
            </w:r>
          </w:p>
        </w:tc>
        <w:tc>
          <w:tcPr>
            <w:tcW w:type="dxa" w:w="690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left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si la base falla al listar se responde 500 y no una lista vacía</w:t>
            </w:r>
          </w:p>
        </w:tc>
        <w:tc>
          <w:tcPr>
            <w:tcW w:type="dxa" w:w="1360"/>
            <w:tcBorders>
              <w:top w:val="single" w:color="C4C7C5" w:sz="6"/>
              <w:left w:val="single" w:color="C4C7C5" w:sz="6"/>
              <w:bottom w:val="single" w:color="C4C7C5" w:sz="6"/>
              <w:right w:val="single" w:color="C4C7C5" w:sz="6"/>
            </w:tcBorders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center"/>
            </w:pPr>
            <w:r>
              <w:rPr>
                <w:rFonts w:ascii="Google Sans" w:cs="Google Sans" w:eastAsia="Google Sans" w:hAnsi="Google Sans"/>
                <w:b w:val="false"/>
                <w:bCs w:val="false"/>
                <w:color w:val="1F1F1F"/>
                <w:sz w:val="20"/>
                <w:szCs w:val="20"/>
              </w:rPr>
              <w:t xml:space="preserve">Aprobada</w:t>
            </w:r>
          </w:p>
        </w:tc>
      </w:tr>
    </w:tbl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Hallazgos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S2-04: posible bug: services/tenantService.js:18 hace data.domain.toLowerCase() antes de validar con zod; si falta el dominio el 400 lleva el mensaje interno "Cannot read properties of undefined (reading 'toLowerCase')"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S2-05: posible bug: services/tenantService.js:13 no comprueba si el dominio ya existe y controllers/tenantController.js:9 devuelve 400 con el mensaje crudo de Postgres ("duplicate key value violates unique constraint...") en vez de 409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S2-13: posible bug: controllers/userController.js:18 pregunta error instanceof zod.ZodError, pero UserService.create lanza un Error común con status 400 (helpers/validacion.js); el chequeo nunca se cumple y un correo mal escrito sale como 500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S2-14: posible bug: services/userService.js:89 no comprueba si el correo existe; la restricción UNIQUE de la base lo frena pero controllers/userController.js:21 lo devuelve como 500 con el mensaje de Postgres</w:t>
      </w:r>
    </w:p>
    <w:p>
      <w:pPr>
        <w:pStyle w:val="Heading2"/>
        <w:spacing w:after="160" w:before="360"/>
      </w:pPr>
      <w:r>
        <w:rPr>
          <w:rFonts w:ascii="Google Sans" w:cs="Google Sans" w:eastAsia="Google Sans" w:hAnsi="Google Sans"/>
          <w:b/>
          <w:bCs/>
          <w:color w:val="1F1F1F"/>
          <w:sz w:val="30"/>
          <w:szCs w:val="30"/>
        </w:rPr>
        <w:t xml:space="preserve">Qué no cubren estas pruebas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Los endpoints HTTP de punta a punta (rutas, autenticación y permisos por rol en el servidor corriendo).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Las funciones SQL de la base, que corren en Postgres y no en Node.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Google Sans" w:cs="Google Sans" w:eastAsia="Google Sans" w:hAnsi="Google Sans"/>
          <w:color w:val="1F1F1F"/>
          <w:sz w:val="21"/>
          <w:szCs w:val="21"/>
        </w:rPr>
        <w:t xml:space="preserve">Los servicios externos (Microsoft, Google, correo y almacenamiento), que se reemplazan por dobles de prueba.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oogle Sans" w:cs="Google Sans" w:eastAsia="Google Sans" w:hAnsi="Google Sans"/>
        <w:color w:val="1F1F1F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2026-10-30T22:00:21.160Z</dcterms:created>
  <dcterms:modified xsi:type="dcterms:W3CDTF">2026-10-30T22:00:21.162Z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