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40"/>
        <w:jc w:val="center"/>
      </w:pPr>
      <w:r>
        <w:rPr>
          <w:rFonts w:ascii="Google Sans" w:cs="Google Sans" w:eastAsia="Google Sans" w:hAnsi="Google Sans"/>
          <w:b/>
          <w:bCs/>
          <w:color w:val="1F1F1F"/>
          <w:sz w:val="40"/>
          <w:szCs w:val="40"/>
        </w:rPr>
        <w:t xml:space="preserve">Informe de pruebas unitarias – Proyecto OnBoard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60"/>
      </w:tblGrid>
      <w:tr>
        <w:trPr>
          <w:tblHeader/>
        </w:trPr>
        <w:tc>
          <w:tcPr>
            <w:tcW w:type="dxa" w:w="320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shd w:fill="F1F3F4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Google Sans" w:cs="Google Sans" w:eastAsia="Google Sans" w:hAnsi="Google Sans"/>
                <w:b/>
                <w:bCs/>
                <w:color w:val="1F1F1F"/>
                <w:sz w:val="20"/>
                <w:szCs w:val="20"/>
              </w:rPr>
              <w:t xml:space="preserve">Campo</w:t>
            </w:r>
          </w:p>
        </w:tc>
        <w:tc>
          <w:tcPr>
            <w:tcW w:type="dxa" w:w="616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shd w:fill="F1F3F4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Google Sans" w:cs="Google Sans" w:eastAsia="Google Sans" w:hAnsi="Google Sans"/>
                <w:b/>
                <w:bCs/>
                <w:color w:val="1F1F1F"/>
                <w:sz w:val="20"/>
                <w:szCs w:val="20"/>
              </w:rPr>
              <w:t xml:space="preserve">Detalle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F1F1F"/>
                <w:sz w:val="20"/>
                <w:szCs w:val="20"/>
              </w:rPr>
              <w:t xml:space="preserve">Número de Sprint</w:t>
            </w:r>
          </w:p>
        </w:tc>
        <w:tc>
          <w:tcPr>
            <w:tcW w:type="dxa" w:w="616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F1F1F"/>
                <w:sz w:val="20"/>
                <w:szCs w:val="20"/>
              </w:rPr>
              <w:t xml:space="preserve">Sprint 2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F1F1F"/>
                <w:sz w:val="20"/>
                <w:szCs w:val="20"/>
              </w:rPr>
              <w:t xml:space="preserve">Fechas del sprint</w:t>
            </w:r>
          </w:p>
        </w:tc>
        <w:tc>
          <w:tcPr>
            <w:tcW w:type="dxa" w:w="616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F1F1F"/>
                <w:sz w:val="20"/>
                <w:szCs w:val="20"/>
              </w:rPr>
              <w:t xml:space="preserve">11/9/2026 – 12/9/2026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F1F1F"/>
                <w:sz w:val="20"/>
                <w:szCs w:val="20"/>
              </w:rPr>
              <w:t xml:space="preserve">Fecha de ejecución</w:t>
            </w:r>
          </w:p>
        </w:tc>
        <w:tc>
          <w:tcPr>
            <w:tcW w:type="dxa" w:w="616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F1F1F"/>
                <w:sz w:val="20"/>
                <w:szCs w:val="20"/>
              </w:rPr>
              <w:t xml:space="preserve">30/10/2026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F1F1F"/>
                <w:sz w:val="20"/>
                <w:szCs w:val="20"/>
              </w:rPr>
              <w:t xml:space="preserve">Responsables</w:t>
            </w:r>
          </w:p>
        </w:tc>
        <w:tc>
          <w:tcPr>
            <w:tcW w:type="dxa" w:w="616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F1F1F"/>
                <w:sz w:val="20"/>
                <w:szCs w:val="20"/>
              </w:rPr>
              <w:t xml:space="preserve">Sergio Angel, Brayan Miranda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F1F1F"/>
                <w:sz w:val="20"/>
                <w:szCs w:val="20"/>
              </w:rPr>
              <w:t xml:space="preserve">Componente probado</w:t>
            </w:r>
          </w:p>
        </w:tc>
        <w:tc>
          <w:tcPr>
            <w:tcW w:type="dxa" w:w="616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F1F1F"/>
                <w:sz w:val="20"/>
                <w:szCs w:val="20"/>
              </w:rPr>
              <w:t xml:space="preserve">Backend (Node.js + Express + Supabase)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F1F1F"/>
                <w:sz w:val="20"/>
                <w:szCs w:val="20"/>
              </w:rPr>
              <w:t xml:space="preserve">Herramienta</w:t>
            </w:r>
          </w:p>
        </w:tc>
        <w:tc>
          <w:tcPr>
            <w:tcW w:type="dxa" w:w="616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F1F1F"/>
                <w:sz w:val="20"/>
                <w:szCs w:val="20"/>
              </w:rPr>
              <w:t xml:space="preserve">node:test y node:assert, incluidos en Node.js 22. No agregan dependencias.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F1F1F"/>
                <w:sz w:val="20"/>
                <w:szCs w:val="20"/>
              </w:rPr>
              <w:t xml:space="preserve">Cómo se ejecutan</w:t>
            </w:r>
          </w:p>
        </w:tc>
        <w:tc>
          <w:tcPr>
            <w:tcW w:type="dxa" w:w="616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F1F1F"/>
                <w:sz w:val="20"/>
                <w:szCs w:val="20"/>
              </w:rPr>
              <w:t xml:space="preserve">node --test "tests/sprint-02/*.test.js" (o npm test para todos los sprints)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F1F1F"/>
                <w:sz w:val="20"/>
                <w:szCs w:val="20"/>
              </w:rPr>
              <w:t xml:space="preserve">Aislamiento</w:t>
            </w:r>
          </w:p>
        </w:tc>
        <w:tc>
          <w:tcPr>
            <w:tcW w:type="dxa" w:w="616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F1F1F"/>
                <w:sz w:val="20"/>
                <w:szCs w:val="20"/>
              </w:rPr>
              <w:t xml:space="preserve">Sin base real: se reemplaza Supabase por una base en memoria que cada prueba carga con sus propios datos. Sin red, correo ni almacenamiento real.</w:t>
            </w:r>
          </w:p>
        </w:tc>
      </w:tr>
    </w:tbl>
    <w:p>
      <w:pPr>
        <w:pStyle w:val="Heading2"/>
        <w:spacing w:after="160" w:before="360"/>
      </w:pPr>
      <w:r>
        <w:rPr>
          <w:rFonts w:ascii="Google Sans" w:cs="Google Sans" w:eastAsia="Google Sans" w:hAnsi="Google Sans"/>
          <w:b/>
          <w:bCs/>
          <w:color w:val="1F1F1F"/>
          <w:sz w:val="30"/>
          <w:szCs w:val="30"/>
        </w:rPr>
        <w:t xml:space="preserve">Historias del sprint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5560"/>
        <w:gridCol w:w="1000"/>
        <w:gridCol w:w="1400"/>
      </w:tblGrid>
      <w:tr>
        <w:trPr>
          <w:tblHeader/>
        </w:trPr>
        <w:tc>
          <w:tcPr>
            <w:tcW w:type="dxa" w:w="140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shd w:fill="F1F3F4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Google Sans" w:cs="Google Sans" w:eastAsia="Google Sans" w:hAnsi="Google Sans"/>
                <w:b/>
                <w:bCs/>
                <w:color w:val="1F1F1F"/>
                <w:sz w:val="20"/>
                <w:szCs w:val="20"/>
              </w:rPr>
              <w:t xml:space="preserve">HU</w:t>
            </w:r>
          </w:p>
        </w:tc>
        <w:tc>
          <w:tcPr>
            <w:tcW w:type="dxa" w:w="556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shd w:fill="F1F3F4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Google Sans" w:cs="Google Sans" w:eastAsia="Google Sans" w:hAnsi="Google Sans"/>
                <w:b/>
                <w:bCs/>
                <w:color w:val="1F1F1F"/>
                <w:sz w:val="20"/>
                <w:szCs w:val="20"/>
              </w:rPr>
              <w:t xml:space="preserve">Historia</w:t>
            </w:r>
          </w:p>
        </w:tc>
        <w:tc>
          <w:tcPr>
            <w:tcW w:type="dxa" w:w="100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shd w:fill="F1F3F4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center"/>
            </w:pPr>
            <w:r>
              <w:rPr>
                <w:rFonts w:ascii="Google Sans" w:cs="Google Sans" w:eastAsia="Google Sans" w:hAnsi="Google Sans"/>
                <w:b/>
                <w:bCs/>
                <w:color w:val="1F1F1F"/>
                <w:sz w:val="20"/>
                <w:szCs w:val="20"/>
              </w:rPr>
              <w:t xml:space="preserve">SP</w:t>
            </w:r>
          </w:p>
        </w:tc>
        <w:tc>
          <w:tcPr>
            <w:tcW w:type="dxa" w:w="140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shd w:fill="F1F3F4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center"/>
            </w:pPr>
            <w:r>
              <w:rPr>
                <w:rFonts w:ascii="Google Sans" w:cs="Google Sans" w:eastAsia="Google Sans" w:hAnsi="Google Sans"/>
                <w:b/>
                <w:bCs/>
                <w:color w:val="1F1F1F"/>
                <w:sz w:val="20"/>
                <w:szCs w:val="20"/>
              </w:rPr>
              <w:t xml:space="preserve">Casos</w:t>
            </w:r>
          </w:p>
        </w:tc>
      </w:tr>
      <w:tr>
        <w:trPr>
          <w:cantSplit/>
        </w:trPr>
        <w:tc>
          <w:tcPr>
            <w:tcW w:type="dxa" w:w="140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F1F1F"/>
                <w:sz w:val="20"/>
                <w:szCs w:val="20"/>
              </w:rPr>
              <w:t xml:space="preserve">HU-001</w:t>
            </w:r>
          </w:p>
        </w:tc>
        <w:tc>
          <w:tcPr>
            <w:tcW w:type="dxa" w:w="556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F1F1F"/>
                <w:sz w:val="20"/>
                <w:szCs w:val="20"/>
              </w:rPr>
              <w:t xml:space="preserve">Crear organización</w:t>
            </w:r>
          </w:p>
        </w:tc>
        <w:tc>
          <w:tcPr>
            <w:tcW w:type="dxa" w:w="100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center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F1F1F"/>
                <w:sz w:val="20"/>
                <w:szCs w:val="20"/>
              </w:rPr>
              <w:t xml:space="preserve">3</w:t>
            </w:r>
          </w:p>
        </w:tc>
        <w:tc>
          <w:tcPr>
            <w:tcW w:type="dxa" w:w="140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center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F1F1F"/>
                <w:sz w:val="20"/>
                <w:szCs w:val="20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140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F1F1F"/>
                <w:sz w:val="20"/>
                <w:szCs w:val="20"/>
              </w:rPr>
              <w:t xml:space="preserve">HU-014</w:t>
            </w:r>
          </w:p>
        </w:tc>
        <w:tc>
          <w:tcPr>
            <w:tcW w:type="dxa" w:w="556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F1F1F"/>
                <w:sz w:val="20"/>
                <w:szCs w:val="20"/>
              </w:rPr>
              <w:t xml:space="preserve">Crear usuario</w:t>
            </w:r>
          </w:p>
        </w:tc>
        <w:tc>
          <w:tcPr>
            <w:tcW w:type="dxa" w:w="100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center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F1F1F"/>
                <w:sz w:val="20"/>
                <w:szCs w:val="20"/>
              </w:rPr>
              <w:t xml:space="preserve">3</w:t>
            </w:r>
          </w:p>
        </w:tc>
        <w:tc>
          <w:tcPr>
            <w:tcW w:type="dxa" w:w="140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center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F1F1F"/>
                <w:sz w:val="20"/>
                <w:szCs w:val="20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140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F1F1F"/>
                <w:sz w:val="20"/>
                <w:szCs w:val="20"/>
              </w:rPr>
              <w:t xml:space="preserve">HU-002</w:t>
            </w:r>
          </w:p>
        </w:tc>
        <w:tc>
          <w:tcPr>
            <w:tcW w:type="dxa" w:w="556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F1F1F"/>
                <w:sz w:val="20"/>
                <w:szCs w:val="20"/>
              </w:rPr>
              <w:t xml:space="preserve">Consultar organizaciones</w:t>
            </w:r>
          </w:p>
        </w:tc>
        <w:tc>
          <w:tcPr>
            <w:tcW w:type="dxa" w:w="100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center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F1F1F"/>
                <w:sz w:val="20"/>
                <w:szCs w:val="20"/>
              </w:rPr>
              <w:t xml:space="preserve">2</w:t>
            </w:r>
          </w:p>
        </w:tc>
        <w:tc>
          <w:tcPr>
            <w:tcW w:type="dxa" w:w="140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center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F1F1F"/>
                <w:sz w:val="20"/>
                <w:szCs w:val="20"/>
              </w:rPr>
              <w:t xml:space="preserve">3</w:t>
            </w:r>
          </w:p>
        </w:tc>
      </w:tr>
    </w:tbl>
    <w:p>
      <w:pPr>
        <w:pStyle w:val="Heading2"/>
        <w:spacing w:after="160" w:before="360"/>
      </w:pPr>
      <w:r>
        <w:rPr>
          <w:rFonts w:ascii="Google Sans" w:cs="Google Sans" w:eastAsia="Google Sans" w:hAnsi="Google Sans"/>
          <w:b/>
          <w:bCs/>
          <w:color w:val="1F1F1F"/>
          <w:sz w:val="30"/>
          <w:szCs w:val="30"/>
        </w:rPr>
        <w:t xml:space="preserve">Resumen de resultados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0"/>
        <w:gridCol w:w="4160"/>
      </w:tblGrid>
      <w:tr>
        <w:trPr>
          <w:tblHeader/>
        </w:trPr>
        <w:tc>
          <w:tcPr>
            <w:tcW w:type="dxa" w:w="520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shd w:fill="F1F3F4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Google Sans" w:cs="Google Sans" w:eastAsia="Google Sans" w:hAnsi="Google Sans"/>
                <w:b/>
                <w:bCs/>
                <w:color w:val="1F1F1F"/>
                <w:sz w:val="20"/>
                <w:szCs w:val="20"/>
              </w:rPr>
              <w:t xml:space="preserve">Métrica</w:t>
            </w:r>
          </w:p>
        </w:tc>
        <w:tc>
          <w:tcPr>
            <w:tcW w:type="dxa" w:w="416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shd w:fill="F1F3F4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Google Sans" w:cs="Google Sans" w:eastAsia="Google Sans" w:hAnsi="Google Sans"/>
                <w:b/>
                <w:bCs/>
                <w:color w:val="1F1F1F"/>
                <w:sz w:val="20"/>
                <w:szCs w:val="20"/>
              </w:rPr>
              <w:t xml:space="preserve">Valor</w:t>
            </w:r>
          </w:p>
        </w:tc>
      </w:tr>
      <w:tr>
        <w:trPr>
          <w:cantSplit/>
        </w:trPr>
        <w:tc>
          <w:tcPr>
            <w:tcW w:type="dxa" w:w="520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F1F1F"/>
                <w:sz w:val="20"/>
                <w:szCs w:val="20"/>
              </w:rPr>
              <w:t xml:space="preserve">Casos de prueba</w:t>
            </w:r>
          </w:p>
        </w:tc>
        <w:tc>
          <w:tcPr>
            <w:tcW w:type="dxa" w:w="416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F1F1F"/>
                <w:sz w:val="20"/>
                <w:szCs w:val="20"/>
              </w:rPr>
              <w:t xml:space="preserve">15</w:t>
            </w:r>
          </w:p>
        </w:tc>
      </w:tr>
      <w:tr>
        <w:trPr>
          <w:cantSplit/>
        </w:trPr>
        <w:tc>
          <w:tcPr>
            <w:tcW w:type="dxa" w:w="520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F1F1F"/>
                <w:sz w:val="20"/>
                <w:szCs w:val="20"/>
              </w:rPr>
              <w:t xml:space="preserve">Archivos de prueba</w:t>
            </w:r>
          </w:p>
        </w:tc>
        <w:tc>
          <w:tcPr>
            <w:tcW w:type="dxa" w:w="416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F1F1F"/>
                <w:sz w:val="20"/>
                <w:szCs w:val="20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520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F1F1F"/>
                <w:sz w:val="20"/>
                <w:szCs w:val="20"/>
              </w:rPr>
              <w:t xml:space="preserve">Aprobados</w:t>
            </w:r>
          </w:p>
        </w:tc>
        <w:tc>
          <w:tcPr>
            <w:tcW w:type="dxa" w:w="416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F1F1F"/>
                <w:sz w:val="20"/>
                <w:szCs w:val="20"/>
              </w:rPr>
              <w:t xml:space="preserve">10</w:t>
            </w:r>
          </w:p>
        </w:tc>
      </w:tr>
      <w:tr>
        <w:trPr>
          <w:cantSplit/>
        </w:trPr>
        <w:tc>
          <w:tcPr>
            <w:tcW w:type="dxa" w:w="520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F1F1F"/>
                <w:sz w:val="20"/>
                <w:szCs w:val="20"/>
              </w:rPr>
              <w:t xml:space="preserve">Fallidos</w:t>
            </w:r>
          </w:p>
        </w:tc>
        <w:tc>
          <w:tcPr>
            <w:tcW w:type="dxa" w:w="416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F1F1F"/>
                <w:sz w:val="20"/>
                <w:szCs w:val="20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520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F1F1F"/>
                <w:sz w:val="20"/>
                <w:szCs w:val="20"/>
              </w:rPr>
              <w:t xml:space="preserve">Pendientes (posible bug documentado)</w:t>
            </w:r>
          </w:p>
        </w:tc>
        <w:tc>
          <w:tcPr>
            <w:tcW w:type="dxa" w:w="416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F1F1F"/>
                <w:sz w:val="20"/>
                <w:szCs w:val="20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520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F1F1F"/>
                <w:sz w:val="20"/>
                <w:szCs w:val="20"/>
              </w:rPr>
              <w:t xml:space="preserve">% de aprobación (sin contar los pendientes)</w:t>
            </w:r>
          </w:p>
        </w:tc>
        <w:tc>
          <w:tcPr>
            <w:tcW w:type="dxa" w:w="416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F1F1F"/>
                <w:sz w:val="20"/>
                <w:szCs w:val="20"/>
              </w:rPr>
              <w:t xml:space="preserve">100%</w:t>
            </w:r>
          </w:p>
        </w:tc>
      </w:tr>
      <w:tr>
        <w:trPr>
          <w:cantSplit/>
        </w:trPr>
        <w:tc>
          <w:tcPr>
            <w:tcW w:type="dxa" w:w="520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F1F1F"/>
                <w:sz w:val="20"/>
                <w:szCs w:val="20"/>
              </w:rPr>
              <w:t xml:space="preserve">Tiempo de ejecución</w:t>
            </w:r>
          </w:p>
        </w:tc>
        <w:tc>
          <w:tcPr>
            <w:tcW w:type="dxa" w:w="416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F1F1F"/>
                <w:sz w:val="20"/>
                <w:szCs w:val="20"/>
              </w:rPr>
              <w:t xml:space="preserve">0,4 s</w:t>
            </w:r>
          </w:p>
        </w:tc>
      </w:tr>
    </w:tbl>
    <w:p>
      <w:pPr>
        <w:pStyle w:val="Heading2"/>
        <w:spacing w:after="160" w:before="360"/>
      </w:pPr>
      <w:r>
        <w:rPr>
          <w:rFonts w:ascii="Google Sans" w:cs="Google Sans" w:eastAsia="Google Sans" w:hAnsi="Google Sans"/>
          <w:b/>
          <w:bCs/>
          <w:color w:val="1F1F1F"/>
          <w:sz w:val="30"/>
          <w:szCs w:val="30"/>
        </w:rPr>
        <w:t xml:space="preserve">Cobertura de código</w:t>
      </w:r>
    </w:p>
    <w:p>
      <w:pPr>
        <w:spacing w:after="120" w:line="276"/>
      </w:pPr>
      <w:r>
        <w:rPr>
          <w:rFonts w:ascii="Google Sans" w:cs="Google Sans" w:eastAsia="Google Sans" w:hAnsi="Google Sans"/>
          <w:color w:val="1F1F1F"/>
          <w:sz w:val="21"/>
          <w:szCs w:val="21"/>
        </w:rPr>
        <w:t xml:space="preserve">Medida con node --test --experimental-test-coverage sobre los archivos del backend que cargan las pruebas de este sprint. Los flujos que dependen de la base real no entran en estas pruebas unitarias.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00"/>
        <w:gridCol w:w="1580"/>
        <w:gridCol w:w="1580"/>
        <w:gridCol w:w="1600"/>
      </w:tblGrid>
      <w:tr>
        <w:trPr>
          <w:tblHeader/>
        </w:trPr>
        <w:tc>
          <w:tcPr>
            <w:tcW w:type="dxa" w:w="460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shd w:fill="F1F3F4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Google Sans" w:cs="Google Sans" w:eastAsia="Google Sans" w:hAnsi="Google Sans"/>
                <w:b/>
                <w:bCs/>
                <w:color w:val="1F1F1F"/>
                <w:sz w:val="20"/>
                <w:szCs w:val="20"/>
              </w:rPr>
              <w:t xml:space="preserve">Archivo</w:t>
            </w:r>
          </w:p>
        </w:tc>
        <w:tc>
          <w:tcPr>
            <w:tcW w:type="dxa" w:w="158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shd w:fill="F1F3F4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center"/>
            </w:pPr>
            <w:r>
              <w:rPr>
                <w:rFonts w:ascii="Google Sans" w:cs="Google Sans" w:eastAsia="Google Sans" w:hAnsi="Google Sans"/>
                <w:b/>
                <w:bCs/>
                <w:color w:val="1F1F1F"/>
                <w:sz w:val="20"/>
                <w:szCs w:val="20"/>
              </w:rPr>
              <w:t xml:space="preserve">Líneas</w:t>
            </w:r>
          </w:p>
        </w:tc>
        <w:tc>
          <w:tcPr>
            <w:tcW w:type="dxa" w:w="158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shd w:fill="F1F3F4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center"/>
            </w:pPr>
            <w:r>
              <w:rPr>
                <w:rFonts w:ascii="Google Sans" w:cs="Google Sans" w:eastAsia="Google Sans" w:hAnsi="Google Sans"/>
                <w:b/>
                <w:bCs/>
                <w:color w:val="1F1F1F"/>
                <w:sz w:val="20"/>
                <w:szCs w:val="20"/>
              </w:rPr>
              <w:t xml:space="preserve">Ramas</w:t>
            </w:r>
          </w:p>
        </w:tc>
        <w:tc>
          <w:tcPr>
            <w:tcW w:type="dxa" w:w="160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shd w:fill="F1F3F4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center"/>
            </w:pPr>
            <w:r>
              <w:rPr>
                <w:rFonts w:ascii="Google Sans" w:cs="Google Sans" w:eastAsia="Google Sans" w:hAnsi="Google Sans"/>
                <w:b/>
                <w:bCs/>
                <w:color w:val="1F1F1F"/>
                <w:sz w:val="20"/>
                <w:szCs w:val="20"/>
              </w:rPr>
              <w:t xml:space="preserve">Funciones</w:t>
            </w:r>
          </w:p>
        </w:tc>
      </w:tr>
      <w:tr>
        <w:trPr>
          <w:cantSplit/>
        </w:trPr>
        <w:tc>
          <w:tcPr>
            <w:tcW w:type="dxa" w:w="460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F1F1F"/>
                <w:sz w:val="20"/>
                <w:szCs w:val="20"/>
              </w:rPr>
              <w:t xml:space="preserve">middlewares/requireRole.js</w:t>
            </w:r>
          </w:p>
        </w:tc>
        <w:tc>
          <w:tcPr>
            <w:tcW w:type="dxa" w:w="158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center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F1F1F"/>
                <w:sz w:val="20"/>
                <w:szCs w:val="20"/>
              </w:rPr>
              <w:t xml:space="preserve">100%</w:t>
            </w:r>
          </w:p>
        </w:tc>
        <w:tc>
          <w:tcPr>
            <w:tcW w:type="dxa" w:w="158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center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F1F1F"/>
                <w:sz w:val="20"/>
                <w:szCs w:val="20"/>
              </w:rPr>
              <w:t xml:space="preserve">100%</w:t>
            </w:r>
          </w:p>
        </w:tc>
        <w:tc>
          <w:tcPr>
            <w:tcW w:type="dxa" w:w="160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center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F1F1F"/>
                <w:sz w:val="20"/>
                <w:szCs w:val="20"/>
              </w:rPr>
              <w:t xml:space="preserve">100%</w:t>
            </w:r>
          </w:p>
        </w:tc>
      </w:tr>
      <w:tr>
        <w:trPr>
          <w:cantSplit/>
        </w:trPr>
        <w:tc>
          <w:tcPr>
            <w:tcW w:type="dxa" w:w="460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F1F1F"/>
                <w:sz w:val="20"/>
                <w:szCs w:val="20"/>
              </w:rPr>
              <w:t xml:space="preserve">schemas/tenantSchema.js</w:t>
            </w:r>
          </w:p>
        </w:tc>
        <w:tc>
          <w:tcPr>
            <w:tcW w:type="dxa" w:w="158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center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F1F1F"/>
                <w:sz w:val="20"/>
                <w:szCs w:val="20"/>
              </w:rPr>
              <w:t xml:space="preserve">100%</w:t>
            </w:r>
          </w:p>
        </w:tc>
        <w:tc>
          <w:tcPr>
            <w:tcW w:type="dxa" w:w="158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center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F1F1F"/>
                <w:sz w:val="20"/>
                <w:szCs w:val="20"/>
              </w:rPr>
              <w:t xml:space="preserve">100%</w:t>
            </w:r>
          </w:p>
        </w:tc>
        <w:tc>
          <w:tcPr>
            <w:tcW w:type="dxa" w:w="160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center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F1F1F"/>
                <w:sz w:val="20"/>
                <w:szCs w:val="20"/>
              </w:rPr>
              <w:t xml:space="preserve">100%</w:t>
            </w:r>
          </w:p>
        </w:tc>
      </w:tr>
      <w:tr>
        <w:trPr>
          <w:cantSplit/>
        </w:trPr>
        <w:tc>
          <w:tcPr>
            <w:tcW w:type="dxa" w:w="460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F1F1F"/>
                <w:sz w:val="20"/>
                <w:szCs w:val="20"/>
              </w:rPr>
              <w:t xml:space="preserve">schemas/userSchemas.js</w:t>
            </w:r>
          </w:p>
        </w:tc>
        <w:tc>
          <w:tcPr>
            <w:tcW w:type="dxa" w:w="158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center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F1F1F"/>
                <w:sz w:val="20"/>
                <w:szCs w:val="20"/>
              </w:rPr>
              <w:t xml:space="preserve">100%</w:t>
            </w:r>
          </w:p>
        </w:tc>
        <w:tc>
          <w:tcPr>
            <w:tcW w:type="dxa" w:w="158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center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F1F1F"/>
                <w:sz w:val="20"/>
                <w:szCs w:val="20"/>
              </w:rPr>
              <w:t xml:space="preserve">100%</w:t>
            </w:r>
          </w:p>
        </w:tc>
        <w:tc>
          <w:tcPr>
            <w:tcW w:type="dxa" w:w="160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center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F1F1F"/>
                <w:sz w:val="20"/>
                <w:szCs w:val="20"/>
              </w:rPr>
              <w:t xml:space="preserve">100%</w:t>
            </w:r>
          </w:p>
        </w:tc>
      </w:tr>
      <w:tr>
        <w:trPr>
          <w:cantSplit/>
        </w:trPr>
        <w:tc>
          <w:tcPr>
            <w:tcW w:type="dxa" w:w="460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F1F1F"/>
                <w:sz w:val="20"/>
                <w:szCs w:val="20"/>
              </w:rPr>
              <w:t xml:space="preserve">helpers/validacion.js</w:t>
            </w:r>
          </w:p>
        </w:tc>
        <w:tc>
          <w:tcPr>
            <w:tcW w:type="dxa" w:w="158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center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F1F1F"/>
                <w:sz w:val="20"/>
                <w:szCs w:val="20"/>
              </w:rPr>
              <w:t xml:space="preserve">78%</w:t>
            </w:r>
          </w:p>
        </w:tc>
        <w:tc>
          <w:tcPr>
            <w:tcW w:type="dxa" w:w="158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center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F1F1F"/>
                <w:sz w:val="20"/>
                <w:szCs w:val="20"/>
              </w:rPr>
              <w:t xml:space="preserve">100%</w:t>
            </w:r>
          </w:p>
        </w:tc>
        <w:tc>
          <w:tcPr>
            <w:tcW w:type="dxa" w:w="160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center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F1F1F"/>
                <w:sz w:val="20"/>
                <w:szCs w:val="20"/>
              </w:rPr>
              <w:t xml:space="preserve">75%</w:t>
            </w:r>
          </w:p>
        </w:tc>
      </w:tr>
      <w:tr>
        <w:trPr>
          <w:cantSplit/>
        </w:trPr>
        <w:tc>
          <w:tcPr>
            <w:tcW w:type="dxa" w:w="460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F1F1F"/>
                <w:sz w:val="20"/>
                <w:szCs w:val="20"/>
              </w:rPr>
              <w:t xml:space="preserve">services/tenantService.js</w:t>
            </w:r>
          </w:p>
        </w:tc>
        <w:tc>
          <w:tcPr>
            <w:tcW w:type="dxa" w:w="158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center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F1F1F"/>
                <w:sz w:val="20"/>
                <w:szCs w:val="20"/>
              </w:rPr>
              <w:t xml:space="preserve">77%</w:t>
            </w:r>
          </w:p>
        </w:tc>
        <w:tc>
          <w:tcPr>
            <w:tcW w:type="dxa" w:w="158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center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F1F1F"/>
                <w:sz w:val="20"/>
                <w:szCs w:val="20"/>
              </w:rPr>
              <w:t xml:space="preserve">92%</w:t>
            </w:r>
          </w:p>
        </w:tc>
        <w:tc>
          <w:tcPr>
            <w:tcW w:type="dxa" w:w="160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center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F1F1F"/>
                <w:sz w:val="20"/>
                <w:szCs w:val="20"/>
              </w:rPr>
              <w:t xml:space="preserve">71%</w:t>
            </w:r>
          </w:p>
        </w:tc>
      </w:tr>
      <w:tr>
        <w:trPr>
          <w:cantSplit/>
        </w:trPr>
        <w:tc>
          <w:tcPr>
            <w:tcW w:type="dxa" w:w="460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F1F1F"/>
                <w:sz w:val="20"/>
                <w:szCs w:val="20"/>
              </w:rPr>
              <w:t xml:space="preserve">controllers/tenantController.js</w:t>
            </w:r>
          </w:p>
        </w:tc>
        <w:tc>
          <w:tcPr>
            <w:tcW w:type="dxa" w:w="158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center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F1F1F"/>
                <w:sz w:val="20"/>
                <w:szCs w:val="20"/>
              </w:rPr>
              <w:t xml:space="preserve">69%</w:t>
            </w:r>
          </w:p>
        </w:tc>
        <w:tc>
          <w:tcPr>
            <w:tcW w:type="dxa" w:w="158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center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F1F1F"/>
                <w:sz w:val="20"/>
                <w:szCs w:val="20"/>
              </w:rPr>
              <w:t xml:space="preserve">89%</w:t>
            </w:r>
          </w:p>
        </w:tc>
        <w:tc>
          <w:tcPr>
            <w:tcW w:type="dxa" w:w="160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center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F1F1F"/>
                <w:sz w:val="20"/>
                <w:szCs w:val="20"/>
              </w:rPr>
              <w:t xml:space="preserve">60%</w:t>
            </w:r>
          </w:p>
        </w:tc>
      </w:tr>
      <w:tr>
        <w:trPr>
          <w:cantSplit/>
        </w:trPr>
        <w:tc>
          <w:tcPr>
            <w:tcW w:type="dxa" w:w="460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F1F1F"/>
                <w:sz w:val="20"/>
                <w:szCs w:val="20"/>
              </w:rPr>
              <w:t xml:space="preserve">services/userService.js</w:t>
            </w:r>
          </w:p>
        </w:tc>
        <w:tc>
          <w:tcPr>
            <w:tcW w:type="dxa" w:w="158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center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F1F1F"/>
                <w:sz w:val="20"/>
                <w:szCs w:val="20"/>
              </w:rPr>
              <w:t xml:space="preserve">46%</w:t>
            </w:r>
          </w:p>
        </w:tc>
        <w:tc>
          <w:tcPr>
            <w:tcW w:type="dxa" w:w="158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center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F1F1F"/>
                <w:sz w:val="20"/>
                <w:szCs w:val="20"/>
              </w:rPr>
              <w:t xml:space="preserve">71%</w:t>
            </w:r>
          </w:p>
        </w:tc>
        <w:tc>
          <w:tcPr>
            <w:tcW w:type="dxa" w:w="160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center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F1F1F"/>
                <w:sz w:val="20"/>
                <w:szCs w:val="20"/>
              </w:rPr>
              <w:t xml:space="preserve">43%</w:t>
            </w:r>
          </w:p>
        </w:tc>
      </w:tr>
      <w:tr>
        <w:trPr>
          <w:cantSplit/>
        </w:trPr>
        <w:tc>
          <w:tcPr>
            <w:tcW w:type="dxa" w:w="460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F1F1F"/>
                <w:sz w:val="20"/>
                <w:szCs w:val="20"/>
              </w:rPr>
              <w:t xml:space="preserve">services/authService.js</w:t>
            </w:r>
          </w:p>
        </w:tc>
        <w:tc>
          <w:tcPr>
            <w:tcW w:type="dxa" w:w="158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center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F1F1F"/>
                <w:sz w:val="20"/>
                <w:szCs w:val="20"/>
              </w:rPr>
              <w:t xml:space="preserve">35%</w:t>
            </w:r>
          </w:p>
        </w:tc>
        <w:tc>
          <w:tcPr>
            <w:tcW w:type="dxa" w:w="158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center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F1F1F"/>
                <w:sz w:val="20"/>
                <w:szCs w:val="20"/>
              </w:rPr>
              <w:t xml:space="preserve">40%</w:t>
            </w:r>
          </w:p>
        </w:tc>
        <w:tc>
          <w:tcPr>
            <w:tcW w:type="dxa" w:w="160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center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F1F1F"/>
                <w:sz w:val="20"/>
                <w:szCs w:val="20"/>
              </w:rPr>
              <w:t xml:space="preserve">38%</w:t>
            </w:r>
          </w:p>
        </w:tc>
      </w:tr>
      <w:tr>
        <w:trPr>
          <w:cantSplit/>
        </w:trPr>
        <w:tc>
          <w:tcPr>
            <w:tcW w:type="dxa" w:w="460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F1F1F"/>
                <w:sz w:val="20"/>
                <w:szCs w:val="20"/>
              </w:rPr>
              <w:t xml:space="preserve">controllers/userController.js</w:t>
            </w:r>
          </w:p>
        </w:tc>
        <w:tc>
          <w:tcPr>
            <w:tcW w:type="dxa" w:w="158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center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F1F1F"/>
                <w:sz w:val="20"/>
                <w:szCs w:val="20"/>
              </w:rPr>
              <w:t xml:space="preserve">30%</w:t>
            </w:r>
          </w:p>
        </w:tc>
        <w:tc>
          <w:tcPr>
            <w:tcW w:type="dxa" w:w="158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center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F1F1F"/>
                <w:sz w:val="20"/>
                <w:szCs w:val="20"/>
              </w:rPr>
              <w:t xml:space="preserve">91%</w:t>
            </w:r>
          </w:p>
        </w:tc>
        <w:tc>
          <w:tcPr>
            <w:tcW w:type="dxa" w:w="160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center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F1F1F"/>
                <w:sz w:val="20"/>
                <w:szCs w:val="20"/>
              </w:rPr>
              <w:t xml:space="preserve">14%</w:t>
            </w:r>
          </w:p>
        </w:tc>
      </w:tr>
    </w:tbl>
    <w:p>
      <w:pPr>
        <w:pStyle w:val="Heading2"/>
        <w:spacing w:after="160" w:before="360"/>
      </w:pPr>
      <w:r>
        <w:rPr>
          <w:rFonts w:ascii="Google Sans" w:cs="Google Sans" w:eastAsia="Google Sans" w:hAnsi="Google Sans"/>
          <w:b/>
          <w:bCs/>
          <w:color w:val="1F1F1F"/>
          <w:sz w:val="30"/>
          <w:szCs w:val="30"/>
        </w:rPr>
        <w:t xml:space="preserve">Detalle de los casos</w:t>
      </w:r>
    </w:p>
    <w:p>
      <w:pPr>
        <w:spacing w:after="120" w:before="240"/>
      </w:pPr>
      <w:r>
        <w:rPr>
          <w:rFonts w:ascii="Google Sans" w:cs="Google Sans" w:eastAsia="Google Sans" w:hAnsi="Google Sans"/>
          <w:b/>
          <w:bCs/>
          <w:color w:val="1F1F1F"/>
          <w:sz w:val="21"/>
          <w:szCs w:val="21"/>
        </w:rPr>
        <w:t xml:space="preserve">HU-001 · Crear organización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6900"/>
        <w:gridCol w:w="1360"/>
      </w:tblGrid>
      <w:tr>
        <w:trPr>
          <w:tblHeader/>
        </w:trPr>
        <w:tc>
          <w:tcPr>
            <w:tcW w:type="dxa" w:w="110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shd w:fill="F1F3F4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Google Sans" w:cs="Google Sans" w:eastAsia="Google Sans" w:hAnsi="Google Sans"/>
                <w:b/>
                <w:bCs/>
                <w:color w:val="1F1F1F"/>
                <w:sz w:val="20"/>
                <w:szCs w:val="20"/>
              </w:rPr>
              <w:t xml:space="preserve">ID</w:t>
            </w:r>
          </w:p>
        </w:tc>
        <w:tc>
          <w:tcPr>
            <w:tcW w:type="dxa" w:w="690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shd w:fill="F1F3F4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Google Sans" w:cs="Google Sans" w:eastAsia="Google Sans" w:hAnsi="Google Sans"/>
                <w:b/>
                <w:bCs/>
                <w:color w:val="1F1F1F"/>
                <w:sz w:val="20"/>
                <w:szCs w:val="20"/>
              </w:rPr>
              <w:t xml:space="preserve">Qué se verifica</w:t>
            </w:r>
          </w:p>
        </w:tc>
        <w:tc>
          <w:tcPr>
            <w:tcW w:type="dxa" w:w="136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shd w:fill="F1F3F4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center"/>
            </w:pPr>
            <w:r>
              <w:rPr>
                <w:rFonts w:ascii="Google Sans" w:cs="Google Sans" w:eastAsia="Google Sans" w:hAnsi="Google Sans"/>
                <w:b/>
                <w:bCs/>
                <w:color w:val="1F1F1F"/>
                <w:sz w:val="20"/>
                <w:szCs w:val="20"/>
              </w:rPr>
              <w:t xml:space="preserve">Estado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F1F1F"/>
                <w:sz w:val="20"/>
                <w:szCs w:val="20"/>
              </w:rPr>
              <w:t xml:space="preserve">S2-01</w:t>
            </w:r>
          </w:p>
        </w:tc>
        <w:tc>
          <w:tcPr>
            <w:tcW w:type="dxa" w:w="690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F1F1F"/>
                <w:sz w:val="20"/>
                <w:szCs w:val="20"/>
              </w:rPr>
              <w:t xml:space="preserve">una organización nueva queda activa, con id generado y el dominio en minúsculas</w:t>
            </w:r>
          </w:p>
        </w:tc>
        <w:tc>
          <w:tcPr>
            <w:tcW w:type="dxa" w:w="136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center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F1F1F"/>
                <w:sz w:val="20"/>
                <w:szCs w:val="20"/>
              </w:rPr>
              <w:t xml:space="preserve">Aprobada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F1F1F"/>
                <w:sz w:val="20"/>
                <w:szCs w:val="20"/>
              </w:rPr>
              <w:t xml:space="preserve">S2-02</w:t>
            </w:r>
          </w:p>
        </w:tc>
        <w:tc>
          <w:tcPr>
            <w:tcW w:type="dxa" w:w="690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F1F1F"/>
                <w:sz w:val="20"/>
                <w:szCs w:val="20"/>
              </w:rPr>
              <w:t xml:space="preserve">un nombre vacío o de más de 100 caracteres responde 400 indicando el campo, sin guardar nada</w:t>
            </w:r>
          </w:p>
        </w:tc>
        <w:tc>
          <w:tcPr>
            <w:tcW w:type="dxa" w:w="136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center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F1F1F"/>
                <w:sz w:val="20"/>
                <w:szCs w:val="20"/>
              </w:rPr>
              <w:t xml:space="preserve">Aprobada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F1F1F"/>
                <w:sz w:val="20"/>
                <w:szCs w:val="20"/>
              </w:rPr>
              <w:t xml:space="preserve">S2-03</w:t>
            </w:r>
          </w:p>
        </w:tc>
        <w:tc>
          <w:tcPr>
            <w:tcW w:type="dxa" w:w="690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F1F1F"/>
                <w:sz w:val="20"/>
                <w:szCs w:val="20"/>
              </w:rPr>
              <w:t xml:space="preserve">solo el superadmin pasa el control de rol de organizaciones: admin recibe 403 y sin sesión 401</w:t>
            </w:r>
          </w:p>
        </w:tc>
        <w:tc>
          <w:tcPr>
            <w:tcW w:type="dxa" w:w="136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center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F1F1F"/>
                <w:sz w:val="20"/>
                <w:szCs w:val="20"/>
              </w:rPr>
              <w:t xml:space="preserve">Aprobada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F1F1F"/>
                <w:sz w:val="20"/>
                <w:szCs w:val="20"/>
              </w:rPr>
              <w:t xml:space="preserve">S2-04</w:t>
            </w:r>
          </w:p>
        </w:tc>
        <w:tc>
          <w:tcPr>
            <w:tcW w:type="dxa" w:w="690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F1F1F"/>
                <w:sz w:val="20"/>
                <w:szCs w:val="20"/>
              </w:rPr>
              <w:t xml:space="preserve">sin dominio responde 400 con un mensaje que nombra el campo domain</w:t>
            </w:r>
          </w:p>
        </w:tc>
        <w:tc>
          <w:tcPr>
            <w:tcW w:type="dxa" w:w="136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center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F1F1F"/>
                <w:sz w:val="20"/>
                <w:szCs w:val="20"/>
              </w:rPr>
              <w:t xml:space="preserve">Pendiente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F1F1F"/>
                <w:sz w:val="20"/>
                <w:szCs w:val="20"/>
              </w:rPr>
              <w:t xml:space="preserve">S2-05</w:t>
            </w:r>
          </w:p>
        </w:tc>
        <w:tc>
          <w:tcPr>
            <w:tcW w:type="dxa" w:w="690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F1F1F"/>
                <w:sz w:val="20"/>
                <w:szCs w:val="20"/>
              </w:rPr>
              <w:t xml:space="preserve">un dominio que ya usa otra organización responde 409</w:t>
            </w:r>
          </w:p>
        </w:tc>
        <w:tc>
          <w:tcPr>
            <w:tcW w:type="dxa" w:w="136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center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F1F1F"/>
                <w:sz w:val="20"/>
                <w:szCs w:val="20"/>
              </w:rPr>
              <w:t xml:space="preserve">Pendiente</w:t>
            </w:r>
          </w:p>
        </w:tc>
      </w:tr>
    </w:tbl>
    <w:p>
      <w:pPr>
        <w:spacing w:after="120" w:before="240"/>
      </w:pPr>
      <w:r>
        <w:rPr>
          <w:rFonts w:ascii="Google Sans" w:cs="Google Sans" w:eastAsia="Google Sans" w:hAnsi="Google Sans"/>
          <w:b/>
          <w:bCs/>
          <w:color w:val="1F1F1F"/>
          <w:sz w:val="21"/>
          <w:szCs w:val="21"/>
        </w:rPr>
        <w:t xml:space="preserve">HU-014 · Crear usuario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6900"/>
        <w:gridCol w:w="1360"/>
      </w:tblGrid>
      <w:tr>
        <w:trPr>
          <w:tblHeader/>
        </w:trPr>
        <w:tc>
          <w:tcPr>
            <w:tcW w:type="dxa" w:w="110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shd w:fill="F1F3F4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Google Sans" w:cs="Google Sans" w:eastAsia="Google Sans" w:hAnsi="Google Sans"/>
                <w:b/>
                <w:bCs/>
                <w:color w:val="1F1F1F"/>
                <w:sz w:val="20"/>
                <w:szCs w:val="20"/>
              </w:rPr>
              <w:t xml:space="preserve">ID</w:t>
            </w:r>
          </w:p>
        </w:tc>
        <w:tc>
          <w:tcPr>
            <w:tcW w:type="dxa" w:w="690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shd w:fill="F1F3F4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Google Sans" w:cs="Google Sans" w:eastAsia="Google Sans" w:hAnsi="Google Sans"/>
                <w:b/>
                <w:bCs/>
                <w:color w:val="1F1F1F"/>
                <w:sz w:val="20"/>
                <w:szCs w:val="20"/>
              </w:rPr>
              <w:t xml:space="preserve">Qué se verifica</w:t>
            </w:r>
          </w:p>
        </w:tc>
        <w:tc>
          <w:tcPr>
            <w:tcW w:type="dxa" w:w="136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shd w:fill="F1F3F4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center"/>
            </w:pPr>
            <w:r>
              <w:rPr>
                <w:rFonts w:ascii="Google Sans" w:cs="Google Sans" w:eastAsia="Google Sans" w:hAnsi="Google Sans"/>
                <w:b/>
                <w:bCs/>
                <w:color w:val="1F1F1F"/>
                <w:sz w:val="20"/>
                <w:szCs w:val="20"/>
              </w:rPr>
              <w:t xml:space="preserve">Estado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F1F1F"/>
                <w:sz w:val="20"/>
                <w:szCs w:val="20"/>
              </w:rPr>
              <w:t xml:space="preserve">S2-09</w:t>
            </w:r>
          </w:p>
        </w:tc>
        <w:tc>
          <w:tcPr>
            <w:tcW w:type="dxa" w:w="690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F1F1F"/>
                <w:sz w:val="20"/>
                <w:szCs w:val="20"/>
              </w:rPr>
              <w:t xml:space="preserve">un admin crea un usuario en su empresa: 201, contraseña hasheada y nunca devuelta, rol aprendiz por defecto</w:t>
            </w:r>
          </w:p>
        </w:tc>
        <w:tc>
          <w:tcPr>
            <w:tcW w:type="dxa" w:w="136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center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F1F1F"/>
                <w:sz w:val="20"/>
                <w:szCs w:val="20"/>
              </w:rPr>
              <w:t xml:space="preserve">Aprobada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F1F1F"/>
                <w:sz w:val="20"/>
                <w:szCs w:val="20"/>
              </w:rPr>
              <w:t xml:space="preserve">S2-10</w:t>
            </w:r>
          </w:p>
        </w:tc>
        <w:tc>
          <w:tcPr>
            <w:tcW w:type="dxa" w:w="690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F1F1F"/>
                <w:sz w:val="20"/>
                <w:szCs w:val="20"/>
              </w:rPr>
              <w:t xml:space="preserve">un admin no puede crear un superadmin (403) y no se guarda nada</w:t>
            </w:r>
          </w:p>
        </w:tc>
        <w:tc>
          <w:tcPr>
            <w:tcW w:type="dxa" w:w="136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center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F1F1F"/>
                <w:sz w:val="20"/>
                <w:szCs w:val="20"/>
              </w:rPr>
              <w:t xml:space="preserve">Aprobada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F1F1F"/>
                <w:sz w:val="20"/>
                <w:szCs w:val="20"/>
              </w:rPr>
              <w:t xml:space="preserve">S2-11</w:t>
            </w:r>
          </w:p>
        </w:tc>
        <w:tc>
          <w:tcPr>
            <w:tcW w:type="dxa" w:w="690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F1F1F"/>
                <w:sz w:val="20"/>
                <w:szCs w:val="20"/>
              </w:rPr>
              <w:t xml:space="preserve">el superadmin elige la empresa del nuevo usuario y puede crear otros superadmins</w:t>
            </w:r>
          </w:p>
        </w:tc>
        <w:tc>
          <w:tcPr>
            <w:tcW w:type="dxa" w:w="136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center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F1F1F"/>
                <w:sz w:val="20"/>
                <w:szCs w:val="20"/>
              </w:rPr>
              <w:t xml:space="preserve">Aprobada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F1F1F"/>
                <w:sz w:val="20"/>
                <w:szCs w:val="20"/>
              </w:rPr>
              <w:t xml:space="preserve">S2-12</w:t>
            </w:r>
          </w:p>
        </w:tc>
        <w:tc>
          <w:tcPr>
            <w:tcW w:type="dxa" w:w="690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F1F1F"/>
                <w:sz w:val="20"/>
                <w:szCs w:val="20"/>
              </w:rPr>
              <w:t xml:space="preserve">el esquema rechaza correo inválido, rol fuera del catálogo y campos desconocidos con 400 indicando el campo</w:t>
            </w:r>
          </w:p>
        </w:tc>
        <w:tc>
          <w:tcPr>
            <w:tcW w:type="dxa" w:w="136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center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F1F1F"/>
                <w:sz w:val="20"/>
                <w:szCs w:val="20"/>
              </w:rPr>
              <w:t xml:space="preserve">Aprobada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F1F1F"/>
                <w:sz w:val="20"/>
                <w:szCs w:val="20"/>
              </w:rPr>
              <w:t xml:space="preserve">S2-13</w:t>
            </w:r>
          </w:p>
        </w:tc>
        <w:tc>
          <w:tcPr>
            <w:tcW w:type="dxa" w:w="690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F1F1F"/>
                <w:sz w:val="20"/>
                <w:szCs w:val="20"/>
              </w:rPr>
              <w:t xml:space="preserve">el endpoint responde 400 (no 500) cuando los datos del usuario son inválidos</w:t>
            </w:r>
          </w:p>
        </w:tc>
        <w:tc>
          <w:tcPr>
            <w:tcW w:type="dxa" w:w="136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center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F1F1F"/>
                <w:sz w:val="20"/>
                <w:szCs w:val="20"/>
              </w:rPr>
              <w:t xml:space="preserve">Pendiente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F1F1F"/>
                <w:sz w:val="20"/>
                <w:szCs w:val="20"/>
              </w:rPr>
              <w:t xml:space="preserve">S2-14</w:t>
            </w:r>
          </w:p>
        </w:tc>
        <w:tc>
          <w:tcPr>
            <w:tcW w:type="dxa" w:w="690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F1F1F"/>
                <w:sz w:val="20"/>
                <w:szCs w:val="20"/>
              </w:rPr>
              <w:t xml:space="preserve">un correo que ya está registrado responde 409</w:t>
            </w:r>
          </w:p>
        </w:tc>
        <w:tc>
          <w:tcPr>
            <w:tcW w:type="dxa" w:w="136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center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F1F1F"/>
                <w:sz w:val="20"/>
                <w:szCs w:val="20"/>
              </w:rPr>
              <w:t xml:space="preserve">Pendiente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F1F1F"/>
                <w:sz w:val="20"/>
                <w:szCs w:val="20"/>
              </w:rPr>
              <w:t xml:space="preserve">S2-15</w:t>
            </w:r>
          </w:p>
        </w:tc>
        <w:tc>
          <w:tcPr>
            <w:tcW w:type="dxa" w:w="690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F1F1F"/>
                <w:sz w:val="20"/>
                <w:szCs w:val="20"/>
              </w:rPr>
              <w:t xml:space="preserve">el correo se guarda en minúsculas para que el usuario creado pueda entrar luego con Microsoft</w:t>
            </w:r>
          </w:p>
        </w:tc>
        <w:tc>
          <w:tcPr>
            <w:tcW w:type="dxa" w:w="136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center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F1F1F"/>
                <w:sz w:val="20"/>
                <w:szCs w:val="20"/>
              </w:rPr>
              <w:t xml:space="preserve">Pendiente</w:t>
            </w:r>
          </w:p>
        </w:tc>
      </w:tr>
    </w:tbl>
    <w:p>
      <w:pPr>
        <w:spacing w:after="120" w:before="240"/>
      </w:pPr>
      <w:r>
        <w:rPr>
          <w:rFonts w:ascii="Google Sans" w:cs="Google Sans" w:eastAsia="Google Sans" w:hAnsi="Google Sans"/>
          <w:b/>
          <w:bCs/>
          <w:color w:val="1F1F1F"/>
          <w:sz w:val="21"/>
          <w:szCs w:val="21"/>
        </w:rPr>
        <w:t xml:space="preserve">HU-002 · Consultar organizaciones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6900"/>
        <w:gridCol w:w="1360"/>
      </w:tblGrid>
      <w:tr>
        <w:trPr>
          <w:tblHeader/>
        </w:trPr>
        <w:tc>
          <w:tcPr>
            <w:tcW w:type="dxa" w:w="110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shd w:fill="F1F3F4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Google Sans" w:cs="Google Sans" w:eastAsia="Google Sans" w:hAnsi="Google Sans"/>
                <w:b/>
                <w:bCs/>
                <w:color w:val="1F1F1F"/>
                <w:sz w:val="20"/>
                <w:szCs w:val="20"/>
              </w:rPr>
              <w:t xml:space="preserve">ID</w:t>
            </w:r>
          </w:p>
        </w:tc>
        <w:tc>
          <w:tcPr>
            <w:tcW w:type="dxa" w:w="690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shd w:fill="F1F3F4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Google Sans" w:cs="Google Sans" w:eastAsia="Google Sans" w:hAnsi="Google Sans"/>
                <w:b/>
                <w:bCs/>
                <w:color w:val="1F1F1F"/>
                <w:sz w:val="20"/>
                <w:szCs w:val="20"/>
              </w:rPr>
              <w:t xml:space="preserve">Qué se verifica</w:t>
            </w:r>
          </w:p>
        </w:tc>
        <w:tc>
          <w:tcPr>
            <w:tcW w:type="dxa" w:w="136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shd w:fill="F1F3F4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center"/>
            </w:pPr>
            <w:r>
              <w:rPr>
                <w:rFonts w:ascii="Google Sans" w:cs="Google Sans" w:eastAsia="Google Sans" w:hAnsi="Google Sans"/>
                <w:b/>
                <w:bCs/>
                <w:color w:val="1F1F1F"/>
                <w:sz w:val="20"/>
                <w:szCs w:val="20"/>
              </w:rPr>
              <w:t xml:space="preserve">Estado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F1F1F"/>
                <w:sz w:val="20"/>
                <w:szCs w:val="20"/>
              </w:rPr>
              <w:t xml:space="preserve">S2-06</w:t>
            </w:r>
          </w:p>
        </w:tc>
        <w:tc>
          <w:tcPr>
            <w:tcW w:type="dxa" w:w="690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F1F1F"/>
                <w:sz w:val="20"/>
                <w:szCs w:val="20"/>
              </w:rPr>
              <w:t xml:space="preserve">el listado trae todas las organizaciones, activas e inactivas, con createdAt en vez de created_at</w:t>
            </w:r>
          </w:p>
        </w:tc>
        <w:tc>
          <w:tcPr>
            <w:tcW w:type="dxa" w:w="136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center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F1F1F"/>
                <w:sz w:val="20"/>
                <w:szCs w:val="20"/>
              </w:rPr>
              <w:t xml:space="preserve">Aprobada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F1F1F"/>
                <w:sz w:val="20"/>
                <w:szCs w:val="20"/>
              </w:rPr>
              <w:t xml:space="preserve">S2-07</w:t>
            </w:r>
          </w:p>
        </w:tc>
        <w:tc>
          <w:tcPr>
            <w:tcW w:type="dxa" w:w="690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F1F1F"/>
                <w:sz w:val="20"/>
                <w:szCs w:val="20"/>
              </w:rPr>
              <w:t xml:space="preserve">consultar una organización por id responde 200 si existe y 404 si no</w:t>
            </w:r>
          </w:p>
        </w:tc>
        <w:tc>
          <w:tcPr>
            <w:tcW w:type="dxa" w:w="136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center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F1F1F"/>
                <w:sz w:val="20"/>
                <w:szCs w:val="20"/>
              </w:rPr>
              <w:t xml:space="preserve">Aprobada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F1F1F"/>
                <w:sz w:val="20"/>
                <w:szCs w:val="20"/>
              </w:rPr>
              <w:t xml:space="preserve">S2-08</w:t>
            </w:r>
          </w:p>
        </w:tc>
        <w:tc>
          <w:tcPr>
            <w:tcW w:type="dxa" w:w="690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F1F1F"/>
                <w:sz w:val="20"/>
                <w:szCs w:val="20"/>
              </w:rPr>
              <w:t xml:space="preserve">si la base falla al listar se responde 500 y no una lista vacía</w:t>
            </w:r>
          </w:p>
        </w:tc>
        <w:tc>
          <w:tcPr>
            <w:tcW w:type="dxa" w:w="136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center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F1F1F"/>
                <w:sz w:val="20"/>
                <w:szCs w:val="20"/>
              </w:rPr>
              <w:t xml:space="preserve">Aprobada</w:t>
            </w:r>
          </w:p>
        </w:tc>
      </w:tr>
    </w:tbl>
    <w:p>
      <w:pPr>
        <w:pStyle w:val="Heading2"/>
        <w:spacing w:after="160" w:before="360"/>
      </w:pPr>
      <w:r>
        <w:rPr>
          <w:rFonts w:ascii="Google Sans" w:cs="Google Sans" w:eastAsia="Google Sans" w:hAnsi="Google Sans"/>
          <w:b/>
          <w:bCs/>
          <w:color w:val="1F1F1F"/>
          <w:sz w:val="30"/>
          <w:szCs w:val="30"/>
        </w:rPr>
        <w:t xml:space="preserve">Hallazgos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Google Sans" w:cs="Google Sans" w:eastAsia="Google Sans" w:hAnsi="Google Sans"/>
          <w:color w:val="1F1F1F"/>
          <w:sz w:val="21"/>
          <w:szCs w:val="21"/>
        </w:rPr>
        <w:t xml:space="preserve">S2-04: posible bug: services/tenantService.js:18 hace data.domain.toLowerCase() antes de validar con zod; si falta el dominio el 400 lleva el mensaje interno "Cannot read properties of undefined (reading 'toLowerCase')"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Google Sans" w:cs="Google Sans" w:eastAsia="Google Sans" w:hAnsi="Google Sans"/>
          <w:color w:val="1F1F1F"/>
          <w:sz w:val="21"/>
          <w:szCs w:val="21"/>
        </w:rPr>
        <w:t xml:space="preserve">S2-05: posible bug: services/tenantService.js:13 no comprueba si el dominio ya existe y controllers/tenantController.js:9 devuelve 400 con el mensaje crudo de Postgres ("duplicate key value violates unique constraint...") en vez de 409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Google Sans" w:cs="Google Sans" w:eastAsia="Google Sans" w:hAnsi="Google Sans"/>
          <w:color w:val="1F1F1F"/>
          <w:sz w:val="21"/>
          <w:szCs w:val="21"/>
        </w:rPr>
        <w:t xml:space="preserve">S2-13: posible bug: controllers/userController.js:18 pregunta error instanceof zod.ZodError, pero UserService.create lanza un Error común con status 400 (helpers/validacion.js); el chequeo nunca se cumple y un correo mal escrito sale como 500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Google Sans" w:cs="Google Sans" w:eastAsia="Google Sans" w:hAnsi="Google Sans"/>
          <w:color w:val="1F1F1F"/>
          <w:sz w:val="21"/>
          <w:szCs w:val="21"/>
        </w:rPr>
        <w:t xml:space="preserve">S2-14: posible bug: services/userService.js:89 no comprueba si el correo existe; la restricción UNIQUE de la base lo frena pero controllers/userController.js:21 lo devuelve como 500 con el mensaje de Postgres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Google Sans" w:cs="Google Sans" w:eastAsia="Google Sans" w:hAnsi="Google Sans"/>
          <w:color w:val="1F1F1F"/>
          <w:sz w:val="21"/>
          <w:szCs w:val="21"/>
        </w:rPr>
        <w:t xml:space="preserve">S2-15: posible bug: services/userService.js:89 guarda el correo tal como llega, pero services/authService.js:112 busca con el UPN de Microsoft en minúsculas; un usuario creado como "Sara@Empresa.com" no se encuentra y se le crea una segunda cuenta como aprendiz</w:t>
      </w:r>
    </w:p>
    <w:p>
      <w:pPr>
        <w:pStyle w:val="Heading2"/>
        <w:spacing w:after="160" w:before="360"/>
      </w:pPr>
      <w:r>
        <w:rPr>
          <w:rFonts w:ascii="Google Sans" w:cs="Google Sans" w:eastAsia="Google Sans" w:hAnsi="Google Sans"/>
          <w:b/>
          <w:bCs/>
          <w:color w:val="1F1F1F"/>
          <w:sz w:val="30"/>
          <w:szCs w:val="30"/>
        </w:rPr>
        <w:t xml:space="preserve">Qué no cubren estas pruebas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Google Sans" w:cs="Google Sans" w:eastAsia="Google Sans" w:hAnsi="Google Sans"/>
          <w:color w:val="1F1F1F"/>
          <w:sz w:val="21"/>
          <w:szCs w:val="21"/>
        </w:rPr>
        <w:t xml:space="preserve">Los endpoints HTTP de punta a punta (rutas, autenticación y permisos por rol en el servidor corriendo).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Google Sans" w:cs="Google Sans" w:eastAsia="Google Sans" w:hAnsi="Google Sans"/>
          <w:color w:val="1F1F1F"/>
          <w:sz w:val="21"/>
          <w:szCs w:val="21"/>
        </w:rPr>
        <w:t xml:space="preserve">Las funciones SQL de la base, que corren en Postgres y no en Node.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Google Sans" w:cs="Google Sans" w:eastAsia="Google Sans" w:hAnsi="Google Sans"/>
          <w:color w:val="1F1F1F"/>
          <w:sz w:val="21"/>
          <w:szCs w:val="21"/>
        </w:rPr>
        <w:t xml:space="preserve">Los servicios externos (Microsoft, Google, correo y almacenamiento), que se reemplazan por dobles de prueba.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oogle Sans" w:cs="Google Sans" w:eastAsia="Google Sans" w:hAnsi="Google Sans"/>
        <w:color w:val="1F1F1F"/>
        <w:sz w:val="21"/>
        <w:szCs w:val="21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1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2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3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4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05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26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47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68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2026-10-30T21:39:47.400Z</dcterms:created>
  <dcterms:modified xsi:type="dcterms:W3CDTF">2026-10-30T21:39:47.400Z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