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0251E" w14:textId="77777777" w:rsidR="00C541F4" w:rsidRDefault="00C541F4" w:rsidP="00C541F4">
      <w:pPr>
        <w:rPr>
          <w:b/>
          <w:bCs/>
          <w:sz w:val="32"/>
          <w:szCs w:val="32"/>
        </w:rPr>
      </w:pPr>
    </w:p>
    <w:p w14:paraId="2DA2F2EF" w14:textId="72C76C32" w:rsidR="00BD6C3D" w:rsidRPr="00C541F4" w:rsidRDefault="00976D71" w:rsidP="00C541F4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541F4">
        <w:rPr>
          <w:rFonts w:ascii="Arial" w:hAnsi="Arial" w:cs="Arial"/>
          <w:b/>
          <w:bCs/>
          <w:sz w:val="32"/>
          <w:szCs w:val="32"/>
        </w:rPr>
        <w:t>INSTITUCION UNIVERSITARIA TECNOLOGICAS DE SANTANDER</w:t>
      </w:r>
    </w:p>
    <w:p w14:paraId="572C0A89" w14:textId="77777777" w:rsidR="00C541F4" w:rsidRPr="00C541F4" w:rsidRDefault="00C541F4" w:rsidP="00C541F4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5C2C7CA" w14:textId="2C77850C" w:rsidR="00C541F4" w:rsidRPr="00C541F4" w:rsidRDefault="00C541F4" w:rsidP="00C541F4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541F4">
        <w:rPr>
          <w:rFonts w:ascii="Arial" w:hAnsi="Arial" w:cs="Arial"/>
          <w:noProof/>
          <w:lang w:eastAsia="es-CO"/>
        </w:rPr>
        <w:drawing>
          <wp:inline distT="0" distB="0" distL="0" distR="0" wp14:anchorId="0037F016" wp14:editId="7D021D7B">
            <wp:extent cx="2506975" cy="915083"/>
            <wp:effectExtent l="0" t="0" r="8255" b="0"/>
            <wp:docPr id="351426376" name="Imagen 26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426376" name="Imagen 26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320" cy="923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DD764" w14:textId="77777777" w:rsidR="00BD6C3D" w:rsidRDefault="00BD6C3D" w:rsidP="00C541F4">
      <w:pPr>
        <w:rPr>
          <w:rFonts w:ascii="Arial" w:hAnsi="Arial" w:cs="Arial"/>
          <w:b/>
          <w:bCs/>
          <w:sz w:val="32"/>
          <w:szCs w:val="32"/>
        </w:rPr>
      </w:pPr>
    </w:p>
    <w:p w14:paraId="3D6FD1AF" w14:textId="77777777" w:rsidR="00C541F4" w:rsidRPr="00C541F4" w:rsidRDefault="00C541F4" w:rsidP="00C541F4">
      <w:pPr>
        <w:rPr>
          <w:rFonts w:ascii="Arial" w:hAnsi="Arial" w:cs="Arial"/>
          <w:b/>
          <w:bCs/>
          <w:sz w:val="32"/>
          <w:szCs w:val="32"/>
        </w:rPr>
      </w:pPr>
    </w:p>
    <w:p w14:paraId="43A53D23" w14:textId="4B9CFBA8" w:rsidR="00976D71" w:rsidRPr="00C541F4" w:rsidRDefault="00BD6C3D" w:rsidP="00976D71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541F4">
        <w:rPr>
          <w:rFonts w:ascii="Arial" w:hAnsi="Arial" w:cs="Arial"/>
          <w:b/>
          <w:bCs/>
          <w:sz w:val="32"/>
          <w:szCs w:val="32"/>
        </w:rPr>
        <w:t>PATRONES DEL SOFTWARE</w:t>
      </w:r>
    </w:p>
    <w:p w14:paraId="446405D2" w14:textId="77777777" w:rsidR="00BD6C3D" w:rsidRPr="00C541F4" w:rsidRDefault="00BD6C3D" w:rsidP="00976D7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F4BF493" w14:textId="77777777" w:rsidR="00BD6C3D" w:rsidRPr="00C541F4" w:rsidRDefault="00BD6C3D" w:rsidP="00976D7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9C04BD4" w14:textId="0D7840E5" w:rsidR="00BD6C3D" w:rsidRDefault="000A55E4" w:rsidP="00976D71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PROYECTO</w:t>
      </w:r>
    </w:p>
    <w:p w14:paraId="113DBD22" w14:textId="7AD30E8A" w:rsidR="000A55E4" w:rsidRPr="0049560E" w:rsidRDefault="000A55E4" w:rsidP="00976D71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49560E">
        <w:rPr>
          <w:rFonts w:ascii="Arial" w:eastAsiaTheme="majorEastAsia" w:hAnsi="Arial" w:cs="Arial"/>
          <w:b/>
          <w:bCs/>
          <w:sz w:val="32"/>
          <w:szCs w:val="32"/>
        </w:rPr>
        <w:t>PLATAFORMA DE VOTACIÓN ELECTRONICA</w:t>
      </w:r>
    </w:p>
    <w:p w14:paraId="49CFDEAB" w14:textId="37F8E3D8" w:rsidR="00BD6C3D" w:rsidRPr="00C541F4" w:rsidRDefault="00BD6C3D" w:rsidP="00976D7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88F082B" w14:textId="77777777" w:rsidR="00BD6C3D" w:rsidRPr="00C541F4" w:rsidRDefault="00BD6C3D" w:rsidP="00976D7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51C62B3" w14:textId="77777777" w:rsidR="00BD6C3D" w:rsidRPr="00C541F4" w:rsidRDefault="00BD6C3D" w:rsidP="00976D7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34A00A8" w14:textId="77777777" w:rsidR="00BD6C3D" w:rsidRPr="00C541F4" w:rsidRDefault="00BD6C3D" w:rsidP="00BD6C3D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541F4">
        <w:rPr>
          <w:rFonts w:ascii="Arial" w:hAnsi="Arial" w:cs="Arial"/>
          <w:b/>
          <w:bCs/>
          <w:sz w:val="32"/>
          <w:szCs w:val="32"/>
        </w:rPr>
        <w:t>BRAYAN STIVEN PABON BAYONA</w:t>
      </w:r>
    </w:p>
    <w:p w14:paraId="1BB0EB9B" w14:textId="77777777" w:rsidR="00BD6C3D" w:rsidRPr="00C541F4" w:rsidRDefault="00BD6C3D" w:rsidP="00976D7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D3E58B1" w14:textId="307D9684" w:rsidR="00BD6C3D" w:rsidRPr="00C541F4" w:rsidRDefault="00BD6C3D" w:rsidP="00976D71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541F4">
        <w:rPr>
          <w:rFonts w:ascii="Arial" w:hAnsi="Arial" w:cs="Arial"/>
          <w:b/>
          <w:bCs/>
          <w:sz w:val="32"/>
          <w:szCs w:val="32"/>
        </w:rPr>
        <w:t>DECIMO SEMESTRE</w:t>
      </w:r>
    </w:p>
    <w:p w14:paraId="423B0724" w14:textId="77777777" w:rsidR="00BD6C3D" w:rsidRPr="00C541F4" w:rsidRDefault="00BD6C3D" w:rsidP="00BD6C3D">
      <w:pPr>
        <w:rPr>
          <w:rFonts w:ascii="Arial" w:hAnsi="Arial" w:cs="Arial"/>
          <w:b/>
          <w:bCs/>
          <w:sz w:val="32"/>
          <w:szCs w:val="32"/>
        </w:rPr>
      </w:pPr>
    </w:p>
    <w:p w14:paraId="2F27A253" w14:textId="77777777" w:rsidR="00BD6C3D" w:rsidRPr="00C541F4" w:rsidRDefault="00BD6C3D" w:rsidP="00BD6C3D">
      <w:pPr>
        <w:rPr>
          <w:rFonts w:ascii="Arial" w:hAnsi="Arial" w:cs="Arial"/>
          <w:b/>
          <w:bCs/>
          <w:sz w:val="32"/>
          <w:szCs w:val="32"/>
        </w:rPr>
      </w:pPr>
    </w:p>
    <w:p w14:paraId="25B77A95" w14:textId="7885FA97" w:rsidR="00BD6C3D" w:rsidRDefault="00BD6C3D" w:rsidP="00C541F4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541F4">
        <w:rPr>
          <w:rFonts w:ascii="Arial" w:hAnsi="Arial" w:cs="Arial"/>
          <w:b/>
          <w:bCs/>
          <w:sz w:val="32"/>
          <w:szCs w:val="32"/>
        </w:rPr>
        <w:t>BUCARAMANGA / SANTANDER</w:t>
      </w:r>
    </w:p>
    <w:p w14:paraId="2EC527CC" w14:textId="77777777" w:rsidR="00C541F4" w:rsidRDefault="00C541F4" w:rsidP="00C541F4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B2D9CEC" w14:textId="77777777" w:rsidR="00C541F4" w:rsidRPr="00C541F4" w:rsidRDefault="00C541F4" w:rsidP="00C541F4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F109FB2" w14:textId="34A5BFAA" w:rsidR="000A55E4" w:rsidRPr="000A55E4" w:rsidRDefault="000A55E4" w:rsidP="000A55E4">
      <w:pPr>
        <w:rPr>
          <w:b/>
          <w:bCs/>
        </w:rPr>
      </w:pPr>
    </w:p>
    <w:p w14:paraId="66DF6FC2" w14:textId="03B93232" w:rsidR="000A55E4" w:rsidRPr="0049560E" w:rsidRDefault="000A55E4" w:rsidP="000A55E4">
      <w:pPr>
        <w:pStyle w:val="Ttulo2"/>
        <w:rPr>
          <w:rFonts w:ascii="Arial" w:hAnsi="Arial" w:cs="Arial"/>
          <w:color w:val="auto"/>
          <w:sz w:val="22"/>
          <w:szCs w:val="22"/>
        </w:rPr>
      </w:pPr>
      <w:r w:rsidRPr="0049560E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Plataforma de Votación Electrónica</w:t>
      </w:r>
      <w:r w:rsidRPr="0049560E">
        <w:rPr>
          <w:rFonts w:ascii="Arial" w:hAnsi="Arial" w:cs="Arial"/>
          <w:color w:val="auto"/>
          <w:sz w:val="22"/>
          <w:szCs w:val="22"/>
        </w:rPr>
        <w:t>.</w:t>
      </w:r>
    </w:p>
    <w:p w14:paraId="53E40C35" w14:textId="437B28F7" w:rsidR="000A55E4" w:rsidRPr="0049560E" w:rsidRDefault="000A55E4" w:rsidP="000A55E4">
      <w:pPr>
        <w:rPr>
          <w:rFonts w:ascii="Arial" w:hAnsi="Arial" w:cs="Arial"/>
        </w:rPr>
      </w:pPr>
      <w:r w:rsidRPr="0049560E">
        <w:rPr>
          <w:rFonts w:ascii="Arial" w:hAnsi="Arial" w:cs="Arial"/>
        </w:rPr>
        <w:t xml:space="preserve">Una </w:t>
      </w:r>
      <w:r w:rsidRPr="0032190A">
        <w:rPr>
          <w:rFonts w:ascii="Arial" w:hAnsi="Arial" w:cs="Arial"/>
          <w:b/>
          <w:bCs/>
          <w:color w:val="0070C0"/>
        </w:rPr>
        <w:t>Plataforma de Votación Electrónica</w:t>
      </w:r>
      <w:r w:rsidRPr="0032190A">
        <w:rPr>
          <w:rFonts w:ascii="Arial" w:hAnsi="Arial" w:cs="Arial"/>
          <w:color w:val="0070C0"/>
        </w:rPr>
        <w:t xml:space="preserve"> </w:t>
      </w:r>
      <w:r w:rsidRPr="0049560E">
        <w:rPr>
          <w:rFonts w:ascii="Arial" w:hAnsi="Arial" w:cs="Arial"/>
        </w:rPr>
        <w:t>es un sistema crítico de alta seguridad diseñado para gestionar procesos electorales de forma digital, garantizando confidencialidad, integridad, no duplicidad del voto y transparencia en los resultados.</w:t>
      </w:r>
    </w:p>
    <w:p w14:paraId="23805098" w14:textId="673BDD2A" w:rsidR="000A55E4" w:rsidRDefault="000A55E4" w:rsidP="000A55E4">
      <w:pPr>
        <w:rPr>
          <w:rFonts w:ascii="Arial" w:hAnsi="Arial" w:cs="Arial"/>
        </w:rPr>
      </w:pPr>
      <w:r w:rsidRPr="0049560E">
        <w:rPr>
          <w:rFonts w:ascii="Arial" w:hAnsi="Arial" w:cs="Arial"/>
        </w:rPr>
        <w:t xml:space="preserve">A </w:t>
      </w:r>
      <w:r w:rsidRPr="0049560E">
        <w:rPr>
          <w:rFonts w:ascii="Arial" w:hAnsi="Arial" w:cs="Arial"/>
        </w:rPr>
        <w:t>continuación,</w:t>
      </w:r>
      <w:r w:rsidRPr="0049560E">
        <w:rPr>
          <w:rFonts w:ascii="Arial" w:hAnsi="Arial" w:cs="Arial"/>
        </w:rPr>
        <w:t xml:space="preserve"> se explica la arquitectura general de la plataforma y cómo se aborda cada uno de sus componentes clave aplicando </w:t>
      </w:r>
      <w:r w:rsidRPr="0049560E">
        <w:rPr>
          <w:rFonts w:ascii="Arial" w:hAnsi="Arial" w:cs="Arial"/>
          <w:b/>
          <w:bCs/>
        </w:rPr>
        <w:t>patrones de diseño de software</w:t>
      </w:r>
      <w:r w:rsidRPr="0049560E">
        <w:rPr>
          <w:rFonts w:ascii="Arial" w:hAnsi="Arial" w:cs="Arial"/>
        </w:rPr>
        <w:t>:</w:t>
      </w:r>
    </w:p>
    <w:p w14:paraId="00FDDAB2" w14:textId="77777777" w:rsidR="0032190A" w:rsidRPr="0049560E" w:rsidRDefault="0032190A" w:rsidP="000A55E4">
      <w:pPr>
        <w:rPr>
          <w:rFonts w:ascii="Arial" w:hAnsi="Arial" w:cs="Arial"/>
        </w:rPr>
      </w:pPr>
    </w:p>
    <w:p w14:paraId="2C167023" w14:textId="110194D6" w:rsidR="000A55E4" w:rsidRPr="0032190A" w:rsidRDefault="0032190A" w:rsidP="000A55E4">
      <w:pPr>
        <w:rPr>
          <w:rFonts w:ascii="Arial" w:hAnsi="Arial" w:cs="Arial"/>
          <w:b/>
          <w:bCs/>
        </w:rPr>
      </w:pPr>
      <w:r w:rsidRPr="0032190A">
        <w:rPr>
          <w:rFonts w:ascii="Arial" w:hAnsi="Arial" w:cs="Arial"/>
          <w:b/>
          <w:bCs/>
        </w:rPr>
        <w:t>SISTEMA DE AUTENTICACIÓN SEGURA DE VOTANTES:</w:t>
      </w:r>
    </w:p>
    <w:p w14:paraId="5F0E5BB2" w14:textId="002A41F0" w:rsidR="000A55E4" w:rsidRPr="0049560E" w:rsidRDefault="000A55E4" w:rsidP="000A55E4">
      <w:pPr>
        <w:pStyle w:val="Prrafodelista"/>
        <w:numPr>
          <w:ilvl w:val="0"/>
          <w:numId w:val="7"/>
        </w:numPr>
        <w:rPr>
          <w:rFonts w:ascii="Arial" w:eastAsiaTheme="majorEastAsia" w:hAnsi="Arial" w:cs="Arial"/>
        </w:rPr>
      </w:pPr>
      <w:r w:rsidRPr="0049560E">
        <w:rPr>
          <w:rFonts w:ascii="Arial" w:eastAsiaTheme="majorEastAsia" w:hAnsi="Arial" w:cs="Arial"/>
          <w:b/>
          <w:bCs/>
        </w:rPr>
        <w:t>Explicación:</w:t>
      </w:r>
      <w:r w:rsidRPr="0049560E">
        <w:rPr>
          <w:rFonts w:ascii="Arial" w:eastAsiaTheme="majorEastAsia" w:hAnsi="Arial" w:cs="Arial"/>
        </w:rPr>
        <w:t xml:space="preserve"> Garantiza que únicamente las personas habilitadas en el censo electoral puedan emitir su voto, verificando su identidad mediante credenciales digitales, </w:t>
      </w:r>
      <w:r w:rsidRPr="0032190A">
        <w:rPr>
          <w:rFonts w:ascii="Arial" w:eastAsiaTheme="majorEastAsia" w:hAnsi="Arial" w:cs="Arial"/>
          <w:color w:val="EE0000"/>
        </w:rPr>
        <w:t>biometría o tokens</w:t>
      </w:r>
      <w:r w:rsidRPr="0049560E">
        <w:rPr>
          <w:rFonts w:ascii="Arial" w:eastAsiaTheme="majorEastAsia" w:hAnsi="Arial" w:cs="Arial"/>
        </w:rPr>
        <w:t>, e impidiendo el sufragio múltiple.</w:t>
      </w:r>
    </w:p>
    <w:p w14:paraId="78F66EF6" w14:textId="544042AD" w:rsidR="000A55E4" w:rsidRPr="0049560E" w:rsidRDefault="000A55E4" w:rsidP="000A55E4">
      <w:pPr>
        <w:pStyle w:val="Prrafodelista"/>
        <w:numPr>
          <w:ilvl w:val="0"/>
          <w:numId w:val="7"/>
        </w:numPr>
        <w:rPr>
          <w:rFonts w:ascii="Arial" w:eastAsiaTheme="majorEastAsia" w:hAnsi="Arial" w:cs="Arial"/>
        </w:rPr>
      </w:pPr>
      <w:r w:rsidRPr="0049560E">
        <w:rPr>
          <w:rFonts w:ascii="Arial" w:eastAsiaTheme="majorEastAsia" w:hAnsi="Arial" w:cs="Arial"/>
          <w:b/>
          <w:bCs/>
        </w:rPr>
        <w:t>Patrón de Software Recomendado:</w:t>
      </w:r>
      <w:r w:rsidRPr="0049560E">
        <w:rPr>
          <w:rFonts w:ascii="Arial" w:eastAsiaTheme="majorEastAsia" w:hAnsi="Arial" w:cs="Arial"/>
        </w:rPr>
        <w:t xml:space="preserve"> </w:t>
      </w:r>
      <w:proofErr w:type="spellStart"/>
      <w:r w:rsidRPr="0049560E">
        <w:rPr>
          <w:rFonts w:ascii="Arial" w:eastAsiaTheme="majorEastAsia" w:hAnsi="Arial" w:cs="Arial"/>
          <w:b/>
          <w:bCs/>
        </w:rPr>
        <w:t>Strategy</w:t>
      </w:r>
      <w:proofErr w:type="spellEnd"/>
      <w:r w:rsidRPr="0049560E">
        <w:rPr>
          <w:rFonts w:ascii="Arial" w:eastAsiaTheme="majorEastAsia" w:hAnsi="Arial" w:cs="Arial"/>
          <w:b/>
          <w:bCs/>
        </w:rPr>
        <w:t xml:space="preserve"> / Chain </w:t>
      </w:r>
      <w:proofErr w:type="spellStart"/>
      <w:r w:rsidRPr="0049560E">
        <w:rPr>
          <w:rFonts w:ascii="Arial" w:eastAsiaTheme="majorEastAsia" w:hAnsi="Arial" w:cs="Arial"/>
          <w:b/>
          <w:bCs/>
        </w:rPr>
        <w:t>of</w:t>
      </w:r>
      <w:proofErr w:type="spellEnd"/>
      <w:r w:rsidRPr="0049560E">
        <w:rPr>
          <w:rFonts w:ascii="Arial" w:eastAsiaTheme="majorEastAsia" w:hAnsi="Arial" w:cs="Arial"/>
          <w:b/>
          <w:bCs/>
        </w:rPr>
        <w:t xml:space="preserve"> </w:t>
      </w:r>
      <w:proofErr w:type="spellStart"/>
      <w:r w:rsidRPr="0049560E">
        <w:rPr>
          <w:rFonts w:ascii="Arial" w:eastAsiaTheme="majorEastAsia" w:hAnsi="Arial" w:cs="Arial"/>
          <w:b/>
          <w:bCs/>
        </w:rPr>
        <w:t>Responsibility</w:t>
      </w:r>
      <w:proofErr w:type="spellEnd"/>
      <w:r w:rsidRPr="0049560E">
        <w:rPr>
          <w:rFonts w:ascii="Arial" w:eastAsiaTheme="majorEastAsia" w:hAnsi="Arial" w:cs="Arial"/>
        </w:rPr>
        <w:t xml:space="preserve">. Permite validar la identidad mediante distintos mecanismos intercambiables o en cadena (por ejemplo: validación por cédula digital </w:t>
      </w:r>
      <m:oMath>
        <m:r>
          <w:rPr>
            <w:rFonts w:ascii="Cambria Math" w:hAnsi="Cambria Math" w:cs="Arial"/>
          </w:rPr>
          <m:t>→</m:t>
        </m:r>
      </m:oMath>
      <w:r w:rsidRPr="0049560E">
        <w:rPr>
          <w:rFonts w:ascii="Arial" w:eastAsiaTheme="majorEastAsia" w:hAnsi="Arial" w:cs="Arial"/>
        </w:rPr>
        <w:t xml:space="preserve"> reconocimiento facial </w:t>
      </w:r>
      <m:oMath>
        <m:r>
          <w:rPr>
            <w:rFonts w:ascii="Cambria Math" w:hAnsi="Cambria Math" w:cs="Arial"/>
          </w:rPr>
          <m:t>→</m:t>
        </m:r>
      </m:oMath>
      <w:r w:rsidRPr="0049560E">
        <w:rPr>
          <w:rFonts w:ascii="Arial" w:eastAsiaTheme="majorEastAsia" w:hAnsi="Arial" w:cs="Arial"/>
        </w:rPr>
        <w:t xml:space="preserve"> token OTP) sin acoplar la lógica de autenticación al sistema principal.</w:t>
      </w:r>
    </w:p>
    <w:p w14:paraId="5B5375B8" w14:textId="0FD8BDDD" w:rsidR="000A55E4" w:rsidRPr="0032190A" w:rsidRDefault="0032190A" w:rsidP="000A55E4">
      <w:pPr>
        <w:rPr>
          <w:rFonts w:ascii="Arial" w:eastAsiaTheme="majorEastAsia" w:hAnsi="Arial" w:cs="Arial"/>
        </w:rPr>
      </w:pPr>
      <w:r w:rsidRPr="0032190A">
        <w:rPr>
          <w:rFonts w:ascii="Arial" w:eastAsiaTheme="majorEastAsia" w:hAnsi="Arial" w:cs="Arial"/>
          <w:b/>
          <w:bCs/>
        </w:rPr>
        <w:t>CONTEO AUTOMATIZADO CON VERIFICACIÓN:</w:t>
      </w:r>
    </w:p>
    <w:p w14:paraId="17EB2B8C" w14:textId="2C707A4F" w:rsidR="000A55E4" w:rsidRPr="0049560E" w:rsidRDefault="000A55E4" w:rsidP="000A55E4">
      <w:pPr>
        <w:pStyle w:val="Prrafodelista"/>
        <w:numPr>
          <w:ilvl w:val="0"/>
          <w:numId w:val="7"/>
        </w:numPr>
        <w:rPr>
          <w:rFonts w:ascii="Arial" w:eastAsiaTheme="majorEastAsia" w:hAnsi="Arial" w:cs="Arial"/>
        </w:rPr>
      </w:pPr>
      <w:r w:rsidRPr="0049560E">
        <w:rPr>
          <w:rFonts w:ascii="Arial" w:eastAsiaTheme="majorEastAsia" w:hAnsi="Arial" w:cs="Arial"/>
          <w:b/>
          <w:bCs/>
        </w:rPr>
        <w:t>Explicación:</w:t>
      </w:r>
      <w:r w:rsidRPr="0049560E">
        <w:rPr>
          <w:rFonts w:ascii="Arial" w:eastAsiaTheme="majorEastAsia" w:hAnsi="Arial" w:cs="Arial"/>
        </w:rPr>
        <w:t xml:space="preserve"> Procesa, registra y suma los votos de forma instantánea y precisa a medida que se emiten. Genera pistas de verificación criptográfica (como </w:t>
      </w:r>
      <w:r w:rsidRPr="0049560E">
        <w:rPr>
          <w:rFonts w:ascii="Arial" w:eastAsiaTheme="majorEastAsia" w:hAnsi="Arial" w:cs="Arial"/>
          <w:i/>
          <w:iCs/>
        </w:rPr>
        <w:t>hashes</w:t>
      </w:r>
      <w:r w:rsidRPr="0049560E">
        <w:rPr>
          <w:rFonts w:ascii="Arial" w:eastAsiaTheme="majorEastAsia" w:hAnsi="Arial" w:cs="Arial"/>
        </w:rPr>
        <w:t xml:space="preserve"> o cadenas invisibles) para asegurar que ningún voto registrado sea alterado o eliminado.</w:t>
      </w:r>
    </w:p>
    <w:p w14:paraId="74426EBE" w14:textId="7A92A39D" w:rsidR="000A55E4" w:rsidRPr="0049560E" w:rsidRDefault="000A55E4" w:rsidP="000A55E4">
      <w:pPr>
        <w:pStyle w:val="Prrafodelista"/>
        <w:numPr>
          <w:ilvl w:val="0"/>
          <w:numId w:val="7"/>
        </w:numPr>
        <w:rPr>
          <w:rFonts w:ascii="Arial" w:eastAsiaTheme="majorEastAsia" w:hAnsi="Arial" w:cs="Arial"/>
        </w:rPr>
      </w:pPr>
      <w:r w:rsidRPr="0049560E">
        <w:rPr>
          <w:rFonts w:ascii="Arial" w:eastAsiaTheme="majorEastAsia" w:hAnsi="Arial" w:cs="Arial"/>
          <w:b/>
          <w:bCs/>
        </w:rPr>
        <w:t>Patrón de Software Recomendado:</w:t>
      </w:r>
      <w:r w:rsidRPr="0049560E">
        <w:rPr>
          <w:rFonts w:ascii="Arial" w:eastAsiaTheme="majorEastAsia" w:hAnsi="Arial" w:cs="Arial"/>
        </w:rPr>
        <w:t xml:space="preserve"> </w:t>
      </w:r>
      <w:r w:rsidRPr="0049560E">
        <w:rPr>
          <w:rFonts w:ascii="Arial" w:eastAsiaTheme="majorEastAsia" w:hAnsi="Arial" w:cs="Arial"/>
          <w:b/>
          <w:bCs/>
        </w:rPr>
        <w:t>Observer / Command</w:t>
      </w:r>
      <w:r w:rsidRPr="0049560E">
        <w:rPr>
          <w:rFonts w:ascii="Arial" w:eastAsiaTheme="majorEastAsia" w:hAnsi="Arial" w:cs="Arial"/>
        </w:rPr>
        <w:t xml:space="preserve">. El patrón </w:t>
      </w:r>
      <w:r w:rsidRPr="0032190A">
        <w:rPr>
          <w:rFonts w:ascii="Arial" w:eastAsiaTheme="majorEastAsia" w:hAnsi="Arial" w:cs="Arial"/>
          <w:i/>
          <w:iCs/>
          <w:color w:val="EE0000"/>
        </w:rPr>
        <w:t>Command</w:t>
      </w:r>
      <w:r w:rsidRPr="0049560E">
        <w:rPr>
          <w:rFonts w:ascii="Arial" w:eastAsiaTheme="majorEastAsia" w:hAnsi="Arial" w:cs="Arial"/>
        </w:rPr>
        <w:t xml:space="preserve"> encapsula la acción de cada voto como un objeto inmutable, mientras que </w:t>
      </w:r>
      <w:r w:rsidRPr="0032190A">
        <w:rPr>
          <w:rFonts w:ascii="Arial" w:eastAsiaTheme="majorEastAsia" w:hAnsi="Arial" w:cs="Arial"/>
          <w:i/>
          <w:iCs/>
          <w:color w:val="EE0000"/>
        </w:rPr>
        <w:t>Observer</w:t>
      </w:r>
      <w:r w:rsidRPr="0049560E">
        <w:rPr>
          <w:rFonts w:ascii="Arial" w:eastAsiaTheme="majorEastAsia" w:hAnsi="Arial" w:cs="Arial"/>
        </w:rPr>
        <w:t xml:space="preserve"> notifica automáticamente a las centrales de conteo en tiempo real cada vez que un voto válido es emitido.</w:t>
      </w:r>
    </w:p>
    <w:p w14:paraId="070D6F4D" w14:textId="418FC53C" w:rsidR="000A55E4" w:rsidRPr="0049560E" w:rsidRDefault="0032190A" w:rsidP="000A55E4">
      <w:pPr>
        <w:rPr>
          <w:rFonts w:ascii="Arial" w:eastAsiaTheme="majorEastAsia" w:hAnsi="Arial" w:cs="Arial"/>
        </w:rPr>
      </w:pPr>
      <w:r w:rsidRPr="0049560E">
        <w:rPr>
          <w:rFonts w:ascii="Arial" w:eastAsiaTheme="majorEastAsia" w:hAnsi="Arial" w:cs="Arial"/>
          <w:b/>
          <w:bCs/>
        </w:rPr>
        <w:t>AUDITORÍA COMPLETA DEL PROCESO:</w:t>
      </w:r>
    </w:p>
    <w:p w14:paraId="50BE85DB" w14:textId="3C6E3BD2" w:rsidR="000A55E4" w:rsidRPr="0049560E" w:rsidRDefault="000A55E4" w:rsidP="000A55E4">
      <w:pPr>
        <w:pStyle w:val="Prrafodelista"/>
        <w:numPr>
          <w:ilvl w:val="0"/>
          <w:numId w:val="7"/>
        </w:numPr>
        <w:rPr>
          <w:rFonts w:ascii="Arial" w:eastAsiaTheme="majorEastAsia" w:hAnsi="Arial" w:cs="Arial"/>
        </w:rPr>
      </w:pPr>
      <w:r w:rsidRPr="0049560E">
        <w:rPr>
          <w:rFonts w:ascii="Arial" w:eastAsiaTheme="majorEastAsia" w:hAnsi="Arial" w:cs="Arial"/>
          <w:b/>
          <w:bCs/>
        </w:rPr>
        <w:t>Explicación:</w:t>
      </w:r>
      <w:r w:rsidRPr="0049560E">
        <w:rPr>
          <w:rFonts w:ascii="Arial" w:eastAsiaTheme="majorEastAsia" w:hAnsi="Arial" w:cs="Arial"/>
        </w:rPr>
        <w:t xml:space="preserve"> Mantiene una traza o historial inalterable de todos los eventos del sistema (apertura de mesas, autenticaciones, emisión de votos anonimizados y cierres). Permite a entes de control e inspectores verificar la transparencia sin violar el secreto del voto.</w:t>
      </w:r>
    </w:p>
    <w:p w14:paraId="0AB188AC" w14:textId="0228FE5B" w:rsidR="000A55E4" w:rsidRPr="0049560E" w:rsidRDefault="000A55E4" w:rsidP="000A55E4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9560E">
        <w:rPr>
          <w:rFonts w:ascii="Arial" w:eastAsiaTheme="majorEastAsia" w:hAnsi="Arial" w:cs="Arial"/>
          <w:b/>
          <w:bCs/>
        </w:rPr>
        <w:t>Patrón de Software Recomendado:</w:t>
      </w:r>
      <w:r w:rsidRPr="0049560E">
        <w:rPr>
          <w:rFonts w:ascii="Arial" w:eastAsiaTheme="majorEastAsia" w:hAnsi="Arial" w:cs="Arial"/>
        </w:rPr>
        <w:t xml:space="preserve"> </w:t>
      </w:r>
      <w:r w:rsidRPr="0049560E">
        <w:rPr>
          <w:rFonts w:ascii="Arial" w:eastAsiaTheme="majorEastAsia" w:hAnsi="Arial" w:cs="Arial"/>
          <w:b/>
          <w:bCs/>
        </w:rPr>
        <w:t>Singleton / Event Sourcing (o Memento)</w:t>
      </w:r>
      <w:r w:rsidRPr="0049560E">
        <w:rPr>
          <w:rFonts w:ascii="Arial" w:eastAsiaTheme="majorEastAsia" w:hAnsi="Arial" w:cs="Arial"/>
        </w:rPr>
        <w:t xml:space="preserve">. </w:t>
      </w:r>
      <w:r w:rsidRPr="0032190A">
        <w:rPr>
          <w:rFonts w:ascii="Arial" w:eastAsiaTheme="majorEastAsia" w:hAnsi="Arial" w:cs="Arial"/>
          <w:i/>
          <w:iCs/>
          <w:color w:val="EE0000"/>
        </w:rPr>
        <w:t>Singleton</w:t>
      </w:r>
      <w:r w:rsidRPr="0032190A">
        <w:rPr>
          <w:rFonts w:ascii="Arial" w:eastAsiaTheme="majorEastAsia" w:hAnsi="Arial" w:cs="Arial"/>
          <w:color w:val="EE0000"/>
        </w:rPr>
        <w:t xml:space="preserve"> </w:t>
      </w:r>
      <w:r w:rsidRPr="0049560E">
        <w:rPr>
          <w:rFonts w:ascii="Arial" w:eastAsiaTheme="majorEastAsia" w:hAnsi="Arial" w:cs="Arial"/>
        </w:rPr>
        <w:t xml:space="preserve">asegura una única instancia centralizada de registro </w:t>
      </w:r>
      <w:r w:rsidRPr="0032190A">
        <w:rPr>
          <w:rFonts w:ascii="Arial" w:eastAsiaTheme="majorEastAsia" w:hAnsi="Arial" w:cs="Arial"/>
          <w:color w:val="EE0000"/>
        </w:rPr>
        <w:t>(</w:t>
      </w:r>
      <w:r w:rsidRPr="0032190A">
        <w:rPr>
          <w:rFonts w:ascii="Arial" w:eastAsiaTheme="majorEastAsia" w:hAnsi="Arial" w:cs="Arial"/>
          <w:i/>
          <w:iCs/>
          <w:color w:val="EE0000"/>
        </w:rPr>
        <w:t>logger</w:t>
      </w:r>
      <w:r w:rsidRPr="0032190A">
        <w:rPr>
          <w:rFonts w:ascii="Arial" w:eastAsiaTheme="majorEastAsia" w:hAnsi="Arial" w:cs="Arial"/>
          <w:color w:val="EE0000"/>
        </w:rPr>
        <w:t xml:space="preserve">) </w:t>
      </w:r>
      <w:r w:rsidRPr="0049560E">
        <w:rPr>
          <w:rFonts w:ascii="Arial" w:eastAsiaTheme="majorEastAsia" w:hAnsi="Arial" w:cs="Arial"/>
        </w:rPr>
        <w:t xml:space="preserve">inalterable, mientras que </w:t>
      </w:r>
      <w:r w:rsidRPr="0032190A">
        <w:rPr>
          <w:rFonts w:ascii="Arial" w:eastAsiaTheme="majorEastAsia" w:hAnsi="Arial" w:cs="Arial"/>
          <w:i/>
          <w:iCs/>
          <w:color w:val="EE0000"/>
        </w:rPr>
        <w:t>Event Sourcing</w:t>
      </w:r>
      <w:r w:rsidRPr="0049560E">
        <w:rPr>
          <w:rFonts w:ascii="Arial" w:eastAsiaTheme="majorEastAsia" w:hAnsi="Arial" w:cs="Arial"/>
        </w:rPr>
        <w:t xml:space="preserve"> guarda cada evento como una secuencia ordenada e immodificable en el tiempo para reconstruir la auditoría paso a paso.</w:t>
      </w:r>
    </w:p>
    <w:p w14:paraId="1AA0268E" w14:textId="47515DE8" w:rsidR="000A55E4" w:rsidRPr="0049560E" w:rsidRDefault="0032190A" w:rsidP="000A55E4">
      <w:pPr>
        <w:rPr>
          <w:rFonts w:ascii="Arial" w:eastAsiaTheme="majorEastAsia" w:hAnsi="Arial" w:cs="Arial"/>
        </w:rPr>
      </w:pPr>
      <w:r w:rsidRPr="0049560E">
        <w:rPr>
          <w:rFonts w:ascii="Arial" w:eastAsiaTheme="majorEastAsia" w:hAnsi="Arial" w:cs="Arial"/>
          <w:b/>
          <w:bCs/>
        </w:rPr>
        <w:t>ESCALABILIDAD PARA ELECCIONES NACIONALES:</w:t>
      </w:r>
    </w:p>
    <w:p w14:paraId="7F839BD6" w14:textId="045B83F6" w:rsidR="000A55E4" w:rsidRPr="0049560E" w:rsidRDefault="000A55E4" w:rsidP="000A55E4">
      <w:pPr>
        <w:pStyle w:val="Prrafodelista"/>
        <w:numPr>
          <w:ilvl w:val="0"/>
          <w:numId w:val="8"/>
        </w:numPr>
        <w:rPr>
          <w:rFonts w:ascii="Arial" w:eastAsiaTheme="majorEastAsia" w:hAnsi="Arial" w:cs="Arial"/>
        </w:rPr>
      </w:pPr>
      <w:r w:rsidRPr="0049560E">
        <w:rPr>
          <w:rFonts w:ascii="Arial" w:eastAsiaTheme="majorEastAsia" w:hAnsi="Arial" w:cs="Arial"/>
          <w:b/>
          <w:bCs/>
        </w:rPr>
        <w:t>Explicación:</w:t>
      </w:r>
      <w:r w:rsidRPr="0049560E">
        <w:rPr>
          <w:rFonts w:ascii="Arial" w:eastAsiaTheme="majorEastAsia" w:hAnsi="Arial" w:cs="Arial"/>
        </w:rPr>
        <w:t xml:space="preserve"> Capacidad de la arquitectura para soportar picos masivos de tráfico concurrente (millones de votantes interactuando simultáneamente al mismo tiempo) sin que el sistema colapse o se degrade.</w:t>
      </w:r>
    </w:p>
    <w:p w14:paraId="7F676D6C" w14:textId="43957671" w:rsidR="000A55E4" w:rsidRPr="0049560E" w:rsidRDefault="000A55E4" w:rsidP="000A55E4">
      <w:pPr>
        <w:pStyle w:val="Prrafodelista"/>
        <w:numPr>
          <w:ilvl w:val="0"/>
          <w:numId w:val="8"/>
        </w:numPr>
        <w:rPr>
          <w:rFonts w:ascii="Arial" w:hAnsi="Arial" w:cs="Arial"/>
        </w:rPr>
      </w:pPr>
      <w:r w:rsidRPr="0049560E">
        <w:rPr>
          <w:rFonts w:ascii="Arial" w:eastAsiaTheme="majorEastAsia" w:hAnsi="Arial" w:cs="Arial"/>
          <w:b/>
          <w:bCs/>
        </w:rPr>
        <w:t>Patrón de Software Recomendado:</w:t>
      </w:r>
      <w:r w:rsidRPr="0049560E">
        <w:rPr>
          <w:rFonts w:ascii="Arial" w:eastAsiaTheme="majorEastAsia" w:hAnsi="Arial" w:cs="Arial"/>
        </w:rPr>
        <w:t xml:space="preserve"> </w:t>
      </w:r>
      <w:r w:rsidRPr="0049560E">
        <w:rPr>
          <w:rFonts w:ascii="Arial" w:eastAsiaTheme="majorEastAsia" w:hAnsi="Arial" w:cs="Arial"/>
          <w:b/>
          <w:bCs/>
        </w:rPr>
        <w:t>Proxy / Load Balancer (o Broker)</w:t>
      </w:r>
      <w:r w:rsidRPr="0049560E">
        <w:rPr>
          <w:rFonts w:ascii="Arial" w:eastAsiaTheme="majorEastAsia" w:hAnsi="Arial" w:cs="Arial"/>
        </w:rPr>
        <w:t xml:space="preserve">. Se emplean patrones estructurales y de distribución como </w:t>
      </w:r>
      <w:r w:rsidRPr="0032190A">
        <w:rPr>
          <w:rFonts w:ascii="Arial" w:eastAsiaTheme="majorEastAsia" w:hAnsi="Arial" w:cs="Arial"/>
          <w:i/>
          <w:iCs/>
          <w:color w:val="EE0000"/>
        </w:rPr>
        <w:t>Proxy</w:t>
      </w:r>
      <w:r w:rsidRPr="0032190A">
        <w:rPr>
          <w:rFonts w:ascii="Arial" w:eastAsiaTheme="majorEastAsia" w:hAnsi="Arial" w:cs="Arial"/>
          <w:color w:val="EE0000"/>
        </w:rPr>
        <w:t xml:space="preserve"> </w:t>
      </w:r>
      <w:r w:rsidRPr="0049560E">
        <w:rPr>
          <w:rFonts w:ascii="Arial" w:eastAsiaTheme="majorEastAsia" w:hAnsi="Arial" w:cs="Arial"/>
        </w:rPr>
        <w:t>para gestionar peticiones en caché y controlar el tráfico masivo antes de enviarlo a los servidores de procesamiento.</w:t>
      </w:r>
    </w:p>
    <w:sectPr w:rsidR="000A55E4" w:rsidRPr="0049560E" w:rsidSect="00BA2468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6F814" w14:textId="77777777" w:rsidR="00FF349C" w:rsidRDefault="00FF349C" w:rsidP="00D82E2C">
      <w:pPr>
        <w:spacing w:after="0" w:line="240" w:lineRule="auto"/>
      </w:pPr>
      <w:r>
        <w:separator/>
      </w:r>
    </w:p>
  </w:endnote>
  <w:endnote w:type="continuationSeparator" w:id="0">
    <w:p w14:paraId="69DD8FB9" w14:textId="77777777" w:rsidR="00FF349C" w:rsidRDefault="00FF349C" w:rsidP="00D82E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8F1BC" w14:textId="77777777" w:rsidR="00FF349C" w:rsidRDefault="00FF349C" w:rsidP="00D82E2C">
      <w:pPr>
        <w:spacing w:after="0" w:line="240" w:lineRule="auto"/>
      </w:pPr>
      <w:r>
        <w:separator/>
      </w:r>
    </w:p>
  </w:footnote>
  <w:footnote w:type="continuationSeparator" w:id="0">
    <w:p w14:paraId="18B81D27" w14:textId="77777777" w:rsidR="00FF349C" w:rsidRDefault="00FF349C" w:rsidP="00D82E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568B9"/>
    <w:multiLevelType w:val="hybridMultilevel"/>
    <w:tmpl w:val="E68C22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C0CE7"/>
    <w:multiLevelType w:val="multilevel"/>
    <w:tmpl w:val="5DEE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BE5AEF"/>
    <w:multiLevelType w:val="multilevel"/>
    <w:tmpl w:val="99F0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847460"/>
    <w:multiLevelType w:val="multilevel"/>
    <w:tmpl w:val="B3EC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44307B"/>
    <w:multiLevelType w:val="multilevel"/>
    <w:tmpl w:val="455A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7E7EFA"/>
    <w:multiLevelType w:val="multilevel"/>
    <w:tmpl w:val="1096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D10E21"/>
    <w:multiLevelType w:val="hybridMultilevel"/>
    <w:tmpl w:val="9088570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F94635"/>
    <w:multiLevelType w:val="hybridMultilevel"/>
    <w:tmpl w:val="521ECD0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639291">
    <w:abstractNumId w:val="6"/>
  </w:num>
  <w:num w:numId="2" w16cid:durableId="518390842">
    <w:abstractNumId w:val="3"/>
  </w:num>
  <w:num w:numId="3" w16cid:durableId="1625186657">
    <w:abstractNumId w:val="5"/>
  </w:num>
  <w:num w:numId="4" w16cid:durableId="989292202">
    <w:abstractNumId w:val="1"/>
  </w:num>
  <w:num w:numId="5" w16cid:durableId="2098210320">
    <w:abstractNumId w:val="2"/>
  </w:num>
  <w:num w:numId="6" w16cid:durableId="415519584">
    <w:abstractNumId w:val="4"/>
  </w:num>
  <w:num w:numId="7" w16cid:durableId="1550991427">
    <w:abstractNumId w:val="0"/>
  </w:num>
  <w:num w:numId="8" w16cid:durableId="4548387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468"/>
    <w:rsid w:val="000A55E4"/>
    <w:rsid w:val="000A6E43"/>
    <w:rsid w:val="00172224"/>
    <w:rsid w:val="00172EB8"/>
    <w:rsid w:val="001B0B8E"/>
    <w:rsid w:val="002F454A"/>
    <w:rsid w:val="0030149A"/>
    <w:rsid w:val="0031698E"/>
    <w:rsid w:val="0032190A"/>
    <w:rsid w:val="0049560E"/>
    <w:rsid w:val="005132B6"/>
    <w:rsid w:val="00593E42"/>
    <w:rsid w:val="00693401"/>
    <w:rsid w:val="008376D5"/>
    <w:rsid w:val="00935D6B"/>
    <w:rsid w:val="00976D71"/>
    <w:rsid w:val="00BA2468"/>
    <w:rsid w:val="00BD6C3D"/>
    <w:rsid w:val="00C541F4"/>
    <w:rsid w:val="00D82E2C"/>
    <w:rsid w:val="00EA4E0D"/>
    <w:rsid w:val="00FF3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51B0D"/>
  <w15:chartTrackingRefBased/>
  <w15:docId w15:val="{E778103F-9752-4932-A855-28244DE0D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24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24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24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24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24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24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24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24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24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24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A24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24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24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246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24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24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24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24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2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2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24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24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24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24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24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246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24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246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246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82E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82E2C"/>
  </w:style>
  <w:style w:type="paragraph" w:styleId="Piedepgina">
    <w:name w:val="footer"/>
    <w:basedOn w:val="Normal"/>
    <w:link w:val="PiedepginaCar"/>
    <w:uiPriority w:val="99"/>
    <w:unhideWhenUsed/>
    <w:rsid w:val="00D82E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E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437</Words>
  <Characters>2409</Characters>
  <Application>Microsoft Office Word</Application>
  <DocSecurity>0</DocSecurity>
  <Lines>20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</vt:i4>
      </vt:variant>
    </vt:vector>
  </HeadingPairs>
  <TitlesOfParts>
    <vt:vector size="2" baseType="lpstr">
      <vt:lpstr/>
      <vt:lpstr>    Plataforma de Votación Electrónica.</vt:lpstr>
    </vt:vector>
  </TitlesOfParts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Brayan Pabón Bayona</dc:creator>
  <cp:keywords/>
  <dc:description/>
  <cp:lastModifiedBy>Brayan Pabón Bayona</cp:lastModifiedBy>
  <cp:revision>7</cp:revision>
  <dcterms:created xsi:type="dcterms:W3CDTF">2026-08-18T02:23:00Z</dcterms:created>
  <dcterms:modified xsi:type="dcterms:W3CDTF">2026-08-24T03:37:00Z</dcterms:modified>
</cp:coreProperties>
</file>