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Comparativo de Desempenho – Teste de Carga (50 Usuários)</w:t>
      </w:r>
    </w:p>
    <w:p>
      <w:pPr>
        <w:pStyle w:val="Heading2"/>
      </w:pPr>
      <w:r>
        <w:t>1. Visão Geral da Comparação</w:t>
      </w:r>
    </w:p>
    <w:p>
      <w:r>
        <w:t>Este documento apresenta a comparação entre os resultados do teste de carga executado no ambiente PROD em dezembro/2025 (50 usuários) e o teste equivalente realizado no ambiente STG em novembro/2025. Ambos os testes utilizaram 50 usuários simultâneos, ramp-up de 10 segundos e 1 iteração.</w:t>
      </w:r>
    </w:p>
    <w:p>
      <w:pPr>
        <w:pStyle w:val="Heading2"/>
      </w:pPr>
      <w:r>
        <w:t>2. Comparação Métrica a Métrica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STG (Nov/25)</w:t>
            </w:r>
          </w:p>
        </w:tc>
        <w:tc>
          <w:tcPr>
            <w:tcW w:type="dxa" w:w="2160"/>
          </w:tcPr>
          <w:p>
            <w:r>
              <w:t>PROD (Dez/25)</w:t>
            </w:r>
          </w:p>
        </w:tc>
        <w:tc>
          <w:tcPr>
            <w:tcW w:type="dxa" w:w="2160"/>
          </w:tcPr>
          <w:p>
            <w:r>
              <w:t>Variação</w:t>
            </w:r>
          </w:p>
        </w:tc>
      </w:tr>
      <w:tr>
        <w:tc>
          <w:tcPr>
            <w:tcW w:type="dxa" w:w="2160"/>
          </w:tcPr>
          <w:p>
            <w:r>
              <w:t>Tempo médio (Average)</w:t>
            </w:r>
          </w:p>
        </w:tc>
        <w:tc>
          <w:tcPr>
            <w:tcW w:type="dxa" w:w="2160"/>
          </w:tcPr>
          <w:p>
            <w:r>
              <w:t>448 ms</w:t>
            </w:r>
          </w:p>
        </w:tc>
        <w:tc>
          <w:tcPr>
            <w:tcW w:type="dxa" w:w="2160"/>
          </w:tcPr>
          <w:p>
            <w:r>
              <w:t>514 ms</w:t>
            </w:r>
          </w:p>
        </w:tc>
        <w:tc>
          <w:tcPr>
            <w:tcW w:type="dxa" w:w="2160"/>
          </w:tcPr>
          <w:p>
            <w:r>
              <w:t>+66 ms</w:t>
            </w:r>
          </w:p>
        </w:tc>
      </w:tr>
      <w:tr>
        <w:tc>
          <w:tcPr>
            <w:tcW w:type="dxa" w:w="2160"/>
          </w:tcPr>
          <w:p>
            <w:r>
              <w:t>Mediana (P50)</w:t>
            </w:r>
          </w:p>
        </w:tc>
        <w:tc>
          <w:tcPr>
            <w:tcW w:type="dxa" w:w="2160"/>
          </w:tcPr>
          <w:p>
            <w:r>
              <w:t>440 ms</w:t>
            </w:r>
          </w:p>
        </w:tc>
        <w:tc>
          <w:tcPr>
            <w:tcW w:type="dxa" w:w="2160"/>
          </w:tcPr>
          <w:p>
            <w:r>
              <w:t>466 ms</w:t>
            </w:r>
          </w:p>
        </w:tc>
        <w:tc>
          <w:tcPr>
            <w:tcW w:type="dxa" w:w="2160"/>
          </w:tcPr>
          <w:p>
            <w:r>
              <w:t>+26 ms</w:t>
            </w:r>
          </w:p>
        </w:tc>
      </w:tr>
      <w:tr>
        <w:tc>
          <w:tcPr>
            <w:tcW w:type="dxa" w:w="2160"/>
          </w:tcPr>
          <w:p>
            <w:r>
              <w:t>90th Percentile</w:t>
            </w:r>
          </w:p>
        </w:tc>
        <w:tc>
          <w:tcPr>
            <w:tcW w:type="dxa" w:w="2160"/>
          </w:tcPr>
          <w:p>
            <w:r>
              <w:t>469 ms</w:t>
            </w:r>
          </w:p>
        </w:tc>
        <w:tc>
          <w:tcPr>
            <w:tcW w:type="dxa" w:w="2160"/>
          </w:tcPr>
          <w:p>
            <w:r>
              <w:t>586 ms</w:t>
            </w:r>
          </w:p>
        </w:tc>
        <w:tc>
          <w:tcPr>
            <w:tcW w:type="dxa" w:w="2160"/>
          </w:tcPr>
          <w:p>
            <w:r>
              <w:t>+117 ms</w:t>
            </w:r>
          </w:p>
        </w:tc>
      </w:tr>
      <w:tr>
        <w:tc>
          <w:tcPr>
            <w:tcW w:type="dxa" w:w="2160"/>
          </w:tcPr>
          <w:p>
            <w:r>
              <w:t>95th Percentile</w:t>
            </w:r>
          </w:p>
        </w:tc>
        <w:tc>
          <w:tcPr>
            <w:tcW w:type="dxa" w:w="2160"/>
          </w:tcPr>
          <w:p>
            <w:r>
              <w:t>482 ms</w:t>
            </w:r>
          </w:p>
        </w:tc>
        <w:tc>
          <w:tcPr>
            <w:tcW w:type="dxa" w:w="2160"/>
          </w:tcPr>
          <w:p>
            <w:r>
              <w:t>741 ms</w:t>
            </w:r>
          </w:p>
        </w:tc>
        <w:tc>
          <w:tcPr>
            <w:tcW w:type="dxa" w:w="2160"/>
          </w:tcPr>
          <w:p>
            <w:r>
              <w:t>+259 ms</w:t>
            </w:r>
          </w:p>
        </w:tc>
      </w:tr>
      <w:tr>
        <w:tc>
          <w:tcPr>
            <w:tcW w:type="dxa" w:w="2160"/>
          </w:tcPr>
          <w:p>
            <w:r>
              <w:t>99th Percentile</w:t>
            </w:r>
          </w:p>
        </w:tc>
        <w:tc>
          <w:tcPr>
            <w:tcW w:type="dxa" w:w="2160"/>
          </w:tcPr>
          <w:p>
            <w:r>
              <w:t>506 ms</w:t>
            </w:r>
          </w:p>
        </w:tc>
        <w:tc>
          <w:tcPr>
            <w:tcW w:type="dxa" w:w="2160"/>
          </w:tcPr>
          <w:p>
            <w:r>
              <w:t>976 ms</w:t>
            </w:r>
          </w:p>
        </w:tc>
        <w:tc>
          <w:tcPr>
            <w:tcW w:type="dxa" w:w="2160"/>
          </w:tcPr>
          <w:p>
            <w:r>
              <w:t>+470 ms</w:t>
            </w:r>
          </w:p>
        </w:tc>
      </w:tr>
      <w:tr>
        <w:tc>
          <w:tcPr>
            <w:tcW w:type="dxa" w:w="2160"/>
          </w:tcPr>
          <w:p>
            <w:r>
              <w:t>Mín/Máx</w:t>
            </w:r>
          </w:p>
        </w:tc>
        <w:tc>
          <w:tcPr>
            <w:tcW w:type="dxa" w:w="2160"/>
          </w:tcPr>
          <w:p>
            <w:r>
              <w:t>428–506 ms</w:t>
            </w:r>
          </w:p>
        </w:tc>
        <w:tc>
          <w:tcPr>
            <w:tcW w:type="dxa" w:w="2160"/>
          </w:tcPr>
          <w:p>
            <w:r>
              <w:t>457–976 ms</w:t>
            </w:r>
          </w:p>
        </w:tc>
        <w:tc>
          <w:tcPr>
            <w:tcW w:type="dxa" w:w="2160"/>
          </w:tcPr>
          <w:p>
            <w:r>
              <w:t>Aumento do pico</w:t>
            </w:r>
          </w:p>
        </w:tc>
      </w:tr>
      <w:tr>
        <w:tc>
          <w:tcPr>
            <w:tcW w:type="dxa" w:w="2160"/>
          </w:tcPr>
          <w:p>
            <w:r>
              <w:t>Erros (%)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Sem mudanças</w:t>
            </w:r>
          </w:p>
        </w:tc>
      </w:tr>
      <w:tr>
        <w:tc>
          <w:tcPr>
            <w:tcW w:type="dxa" w:w="2160"/>
          </w:tcPr>
          <w:p>
            <w:r>
              <w:t>Throughput</w:t>
            </w:r>
          </w:p>
        </w:tc>
        <w:tc>
          <w:tcPr>
            <w:tcW w:type="dxa" w:w="2160"/>
          </w:tcPr>
          <w:p>
            <w:r>
              <w:t>4.87 req/s</w:t>
            </w:r>
          </w:p>
        </w:tc>
        <w:tc>
          <w:tcPr>
            <w:tcW w:type="dxa" w:w="2160"/>
          </w:tcPr>
          <w:p>
            <w:r>
              <w:t>4.90 req/s</w:t>
            </w:r>
          </w:p>
        </w:tc>
        <w:tc>
          <w:tcPr>
            <w:tcW w:type="dxa" w:w="2160"/>
          </w:tcPr>
          <w:p>
            <w:r>
              <w:t>Estável</w:t>
            </w:r>
          </w:p>
        </w:tc>
      </w:tr>
      <w:tr>
        <w:tc>
          <w:tcPr>
            <w:tcW w:type="dxa" w:w="2160"/>
          </w:tcPr>
          <w:p>
            <w:r>
              <w:t>APDEX</w:t>
            </w:r>
          </w:p>
        </w:tc>
        <w:tc>
          <w:tcPr>
            <w:tcW w:type="dxa" w:w="2160"/>
          </w:tcPr>
          <w:p>
            <w:r>
              <w:t>0.990</w:t>
            </w:r>
          </w:p>
        </w:tc>
        <w:tc>
          <w:tcPr>
            <w:tcW w:type="dxa" w:w="2160"/>
          </w:tcPr>
          <w:p>
            <w:r>
              <w:t>0.790</w:t>
            </w:r>
          </w:p>
        </w:tc>
        <w:tc>
          <w:tcPr>
            <w:tcW w:type="dxa" w:w="2160"/>
          </w:tcPr>
          <w:p>
            <w:r>
              <w:t>Queda de 0.200</w:t>
            </w:r>
          </w:p>
        </w:tc>
      </w:tr>
    </w:tbl>
    <w:p>
      <w:pPr>
        <w:pStyle w:val="Heading2"/>
      </w:pPr>
      <w:r>
        <w:t>3. Análise Técnica das Diferenças</w:t>
      </w:r>
    </w:p>
    <w:p>
      <w:r>
        <w:t>Os resultados mostram uma estabilidade geral no ambiente PROD, com 0% de erros e throughput praticamente igual ao mês anterior. No entanto, houve um aumento significativo nos tempos de resposta dos percentis mais altos (P95 e P99), indicando que algumas requisições estão levando mais tempo para ser processadas. Isso impactou diretamente o APDEX, que caiu de 0.990 para 0.790. Apesar disso, os tempos médios permanecem dentro dos padrões aceitáveis para a aplicação.</w:t>
      </w:r>
    </w:p>
    <w:p>
      <w:pPr>
        <w:pStyle w:val="Heading2"/>
      </w:pPr>
      <w:r>
        <w:t>4. Interpretação Geral</w:t>
      </w:r>
    </w:p>
    <w:p>
      <w:r>
        <w:t>• O desempenho do ambiente PROD permanece bom e estável, sem ocorrências de erro.</w:t>
        <w:br/>
        <w:t>• Houve aumento nos tempos mais altos (cauda longa), prejudicando a consistência.</w:t>
        <w:br/>
        <w:t>• A queda do APDEX indica uma leve redução na experiência percebida pelo usuário.</w:t>
        <w:br/>
        <w:t>• A variação é comum entre ambientes, especialmente quando comparando STG (isolado) com PROD (uso real).</w:t>
      </w:r>
    </w:p>
    <w:p>
      <w:pPr>
        <w:pStyle w:val="Heading2"/>
      </w:pPr>
      <w:r>
        <w:t>5. Conclusão do Comparativo</w:t>
      </w:r>
    </w:p>
    <w:p>
      <w:r>
        <w:t>O Stratega PROD continua estável e com tempos médios aceitáveis. A perda de desempenho observada nas requisições mais lentas sugere a necessidade de acompanhamento contínuo, mas não indica regressão crítica. Recomenda-se repetir o teste após o teste de estresse (100 usuários) e monitorar os percentis P95 e P99 nos próximos ciclos.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