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37CD0" w14:textId="77777777" w:rsidR="006C7DE4" w:rsidRDefault="006C7DE4">
      <w:pPr>
        <w:pStyle w:val="Heading1"/>
        <w:divId w:val="1865942089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Customer Security Checklist — Eisavant Responses</w:t>
      </w:r>
    </w:p>
    <w:p w14:paraId="6C082900" w14:textId="77777777" w:rsidR="006C7DE4" w:rsidRDefault="006C7DE4">
      <w:pPr>
        <w:pStyle w:val="meta"/>
        <w:divId w:val="1865942089"/>
        <w:rPr>
          <w:rFonts w:ascii="Calibri" w:hAnsi="Calibri" w:cs="Calibri"/>
        </w:rPr>
      </w:pPr>
      <w:r>
        <w:rPr>
          <w:rFonts w:ascii="Calibri" w:hAnsi="Calibri" w:cs="Calibri"/>
        </w:rPr>
        <w:t>eisavant.com  |  Prepared July 23, 2026  |  Companion to zzz_documentation/06_customer_security_checklist_responses.md</w:t>
      </w:r>
    </w:p>
    <w:p w14:paraId="1019E55B" w14:textId="77777777" w:rsidR="006C7DE4" w:rsidRDefault="006C7DE4">
      <w:pPr>
        <w:pStyle w:val="Heading2"/>
        <w:divId w:val="1865942089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Context</w:t>
      </w:r>
    </w:p>
    <w:p w14:paraId="4C808D61" w14:textId="77777777" w:rsidR="006C7DE4" w:rsidRDefault="006C7DE4">
      <w:pPr>
        <w:pStyle w:val="NormalWeb"/>
        <w:divId w:val="1865942089"/>
        <w:rPr>
          <w:rFonts w:ascii="Calibri" w:hAnsi="Calibri" w:cs="Calibri"/>
          <w:color w:val="1C2333"/>
          <w:sz w:val="22"/>
          <w:szCs w:val="22"/>
        </w:rPr>
      </w:pPr>
      <w:r>
        <w:rPr>
          <w:rFonts w:ascii="Calibri" w:hAnsi="Calibri" w:cs="Calibri"/>
          <w:color w:val="1C2333"/>
          <w:sz w:val="22"/>
          <w:szCs w:val="22"/>
        </w:rPr>
        <w:t xml:space="preserve">A consultant's security checklist was shared with us. It is written for applications built on </w:t>
      </w:r>
      <w:r>
        <w:rPr>
          <w:rFonts w:ascii="Calibri" w:hAnsi="Calibri" w:cs="Calibri"/>
          <w:b/>
          <w:bCs/>
          <w:color w:val="1C2333"/>
          <w:sz w:val="22"/>
          <w:szCs w:val="22"/>
        </w:rPr>
        <w:t>Lovable + Supabase</w:t>
      </w:r>
      <w:r>
        <w:rPr>
          <w:rFonts w:ascii="Calibri" w:hAnsi="Calibri" w:cs="Calibri"/>
          <w:color w:val="1C2333"/>
          <w:sz w:val="22"/>
          <w:szCs w:val="22"/>
        </w:rPr>
        <w:t xml:space="preserve">, where the database is exposed through an auto-generated API and security depends on correctly configured Supabase policies. Eisavant is </w:t>
      </w:r>
      <w:r>
        <w:rPr>
          <w:rFonts w:ascii="Calibri" w:hAnsi="Calibri" w:cs="Calibri"/>
          <w:b/>
          <w:bCs/>
          <w:color w:val="1C2333"/>
          <w:sz w:val="22"/>
          <w:szCs w:val="22"/>
        </w:rPr>
        <w:t>not</w:t>
      </w:r>
      <w:r>
        <w:rPr>
          <w:rFonts w:ascii="Calibri" w:hAnsi="Calibri" w:cs="Calibri"/>
          <w:color w:val="1C2333"/>
          <w:sz w:val="22"/>
          <w:szCs w:val="22"/>
        </w:rPr>
        <w:t xml:space="preserve"> </w:t>
      </w:r>
      <w:r>
        <w:rPr>
          <w:rFonts w:ascii="Calibri" w:hAnsi="Calibri" w:cs="Calibri"/>
          <w:color w:val="1C2333"/>
          <w:sz w:val="22"/>
          <w:szCs w:val="22"/>
        </w:rPr>
        <w:t xml:space="preserve">built on Supabase: it is a custom Express/TypeScript API in front of PostgreSQL on Railway, and the database is never directly reachable from a browser. That architectural difference resolves several checklist items by construction. The checklist is </w:t>
      </w:r>
      <w:r>
        <w:rPr>
          <w:rFonts w:ascii="Calibri" w:hAnsi="Calibri" w:cs="Calibri"/>
          <w:i/>
          <w:iCs/>
          <w:color w:val="1C2333"/>
          <w:sz w:val="22"/>
          <w:szCs w:val="22"/>
        </w:rPr>
        <w:t>good advice</w:t>
      </w:r>
      <w:r>
        <w:rPr>
          <w:rFonts w:ascii="Calibri" w:hAnsi="Calibri" w:cs="Calibri"/>
          <w:color w:val="1C2333"/>
          <w:sz w:val="22"/>
          <w:szCs w:val="22"/>
        </w:rPr>
        <w:t xml:space="preserve"> — none of it is noise — but for this codebase most items are already implemented, and items 1–3 are continuously re-verified by an automated test suite rather than checked by hand.</w:t>
      </w:r>
    </w:p>
    <w:p w14:paraId="7ABC9A5A" w14:textId="77777777" w:rsidR="006C7DE4" w:rsidRDefault="006C7DE4">
      <w:pPr>
        <w:pStyle w:val="NormalWeb"/>
        <w:divId w:val="1865942089"/>
        <w:rPr>
          <w:rFonts w:ascii="Calibri" w:hAnsi="Calibri" w:cs="Calibri"/>
          <w:color w:val="1C2333"/>
          <w:sz w:val="22"/>
          <w:szCs w:val="22"/>
        </w:rPr>
      </w:pPr>
      <w:r>
        <w:rPr>
          <w:rFonts w:ascii="Calibri" w:hAnsi="Calibri" w:cs="Calibri"/>
          <w:b/>
          <w:bCs/>
          <w:color w:val="1C2333"/>
          <w:sz w:val="22"/>
          <w:szCs w:val="22"/>
        </w:rPr>
        <w:t>Status legend:</w:t>
      </w:r>
      <w:r>
        <w:rPr>
          <w:rFonts w:ascii="Calibri" w:hAnsi="Calibri" w:cs="Calibri"/>
          <w:color w:val="1C2333"/>
          <w:sz w:val="22"/>
          <w:szCs w:val="22"/>
        </w:rPr>
        <w:t xml:space="preserve"> SATISFIED  ·  </w:t>
      </w:r>
      <w:r>
        <w:rPr>
          <w:rFonts w:ascii="Calibri" w:hAnsi="Calibri" w:cs="Calibri"/>
          <w:color w:val="1C2333"/>
          <w:sz w:val="22"/>
          <w:szCs w:val="22"/>
        </w:rPr>
        <w:t>OWNER ACTION (satisfied, with an action for the account owner)  ·  PLANNED GATE (agreed, required before real confidential data).</w:t>
      </w:r>
    </w:p>
    <w:p w14:paraId="307A5FEA" w14:textId="77777777" w:rsidR="006C7DE4" w:rsidRDefault="006C7DE4">
      <w:pPr>
        <w:pStyle w:val="Heading2"/>
        <w:divId w:val="1865942089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consultant's six risk areas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2202"/>
        <w:gridCol w:w="5722"/>
        <w:gridCol w:w="1072"/>
      </w:tblGrid>
      <w:tr w:rsidR="00000000" w14:paraId="65361A03" w14:textId="77777777">
        <w:trPr>
          <w:divId w:val="1865942089"/>
        </w:trPr>
        <w:tc>
          <w:tcPr>
            <w:tcW w:w="0" w:type="auto"/>
            <w:shd w:val="clear" w:color="auto" w:fill="0A112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BE592A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E8CC6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E8CC6E"/>
                <w:sz w:val="20"/>
                <w:szCs w:val="20"/>
              </w:rPr>
              <w:t>#</w:t>
            </w:r>
          </w:p>
        </w:tc>
        <w:tc>
          <w:tcPr>
            <w:tcW w:w="0" w:type="auto"/>
            <w:shd w:val="clear" w:color="auto" w:fill="0A112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6F9332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E8CC6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E8CC6E"/>
                <w:sz w:val="20"/>
                <w:szCs w:val="20"/>
              </w:rPr>
              <w:t>Concern (Supabase framing)</w:t>
            </w:r>
          </w:p>
        </w:tc>
        <w:tc>
          <w:tcPr>
            <w:tcW w:w="0" w:type="auto"/>
            <w:shd w:val="clear" w:color="auto" w:fill="0A112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96ED76D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E8CC6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E8CC6E"/>
                <w:sz w:val="20"/>
                <w:szCs w:val="20"/>
              </w:rPr>
              <w:t>Eisavant response</w:t>
            </w:r>
          </w:p>
        </w:tc>
        <w:tc>
          <w:tcPr>
            <w:tcW w:w="0" w:type="auto"/>
            <w:shd w:val="clear" w:color="auto" w:fill="0A112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4B70E0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E8CC6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E8CC6E"/>
                <w:sz w:val="20"/>
                <w:szCs w:val="20"/>
              </w:rPr>
              <w:t>Status</w:t>
            </w:r>
          </w:p>
        </w:tc>
      </w:tr>
      <w:tr w:rsidR="00000000" w14:paraId="3C6D5C6C" w14:textId="77777777">
        <w:trPr>
          <w:divId w:val="1865942089"/>
        </w:trPr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90E0B8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A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09E7CF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Missing or overly broad Row Level Security policies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0EB86E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 xml:space="preserve">RLS is ENABLE + FORCE on </w:t>
            </w:r>
            <w:r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  <w:t>every</w:t>
            </w: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 xml:space="preserve"> application table with deny-by-default, hand-written policies per role (anon, ceo, support, admin, client). Full policy matrix in the Database &amp; RLS document.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noWrap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C631B2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  <w:t>SATISFIED</w:t>
            </w:r>
          </w:p>
        </w:tc>
      </w:tr>
      <w:tr w:rsidR="00000000" w14:paraId="421C194C" w14:textId="77777777">
        <w:trPr>
          <w:divId w:val="1865942089"/>
        </w:trPr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7F5E25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B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34B9327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Accidentally exposing a secret or service-role key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58ED3F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 xml:space="preserve">There is no auto-generated database API and no publishable key. The browser holds </w:t>
            </w:r>
            <w:r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  <w:t>zero</w:t>
            </w: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 xml:space="preserve"> database credentials. Owner credentials are used only by migration/seed scripts from a gitignored .env; the running app uses a restricted NOBYPASSRLS role.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noWrap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927EED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  <w:t>SATISFIED</w:t>
            </w:r>
          </w:p>
        </w:tc>
      </w:tr>
      <w:tr w:rsidR="00000000" w14:paraId="70345D7A" w14:textId="77777777">
        <w:trPr>
          <w:divId w:val="1865942089"/>
        </w:trPr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B035239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C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97637D6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Relying on the interface to enforce security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748F27F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Authorization is enforced three times independently: API middleware, database RLS policies, and a database trigger for privilege changes. Hiding a button protects nothing here either — the database itself refuses unauthorized queries.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noWrap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8BBF3D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  <w:t>SATISFIED</w:t>
            </w:r>
          </w:p>
        </w:tc>
      </w:tr>
      <w:tr w:rsidR="00000000" w14:paraId="5B9BC99A" w14:textId="77777777">
        <w:trPr>
          <w:divId w:val="1865942089"/>
        </w:trPr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3F2F4C1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lastRenderedPageBreak/>
              <w:t>D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AA44517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Public file-storage buckets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FB46F1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 xml:space="preserve">No storage buckets exist. CVs and photos are stored </w:t>
            </w:r>
            <w:r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  <w:t>inside PostgreSQL</w:t>
            </w: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 xml:space="preserve"> under the same RLS policies as the owning profile. A client company can only read a candidate's CV at the "full" disclosure level.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noWrap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DD5F3F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  <w:t>SATISFIED</w:t>
            </w:r>
          </w:p>
        </w:tc>
      </w:tr>
      <w:tr w:rsidR="00000000" w14:paraId="1B941AB8" w14:textId="77777777">
        <w:trPr>
          <w:divId w:val="1865942089"/>
        </w:trPr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92115C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E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B0A5ED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AI-generated policies that are technically valid but too permissive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DA5515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Policies are hand-scoped and regression-tested by verify-rls.ts (23 assertions run against the live database as the app's own restricted role). The suite is rerun after every schema change.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noWrap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FEEB42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  <w:t>SATISFIED</w:t>
            </w:r>
          </w:p>
        </w:tc>
      </w:tr>
      <w:tr w:rsidR="00000000" w14:paraId="6682CD1C" w14:textId="77777777">
        <w:trPr>
          <w:divId w:val="1865942089"/>
        </w:trPr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BD1D339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F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BA0E508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Sensitive operations running in the browser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7F4E01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All privileged logic runs server-side. Auth tokens are httpOnly cookies (invisible to JavaScript). The payment step is a server-side stub that never touches card data.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noWrap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E05DFF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  <w:t>SATISFIED</w:t>
            </w:r>
          </w:p>
        </w:tc>
      </w:tr>
    </w:tbl>
    <w:p w14:paraId="4303A455" w14:textId="77777777" w:rsidR="006C7DE4" w:rsidRDefault="006C7DE4">
      <w:pPr>
        <w:pStyle w:val="Heading2"/>
        <w:divId w:val="1865942089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nine-point minimum checklist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"/>
        <w:gridCol w:w="3287"/>
        <w:gridCol w:w="3568"/>
        <w:gridCol w:w="2163"/>
      </w:tblGrid>
      <w:tr w:rsidR="00000000" w14:paraId="4D95F590" w14:textId="77777777">
        <w:trPr>
          <w:divId w:val="1865942089"/>
        </w:trPr>
        <w:tc>
          <w:tcPr>
            <w:tcW w:w="0" w:type="auto"/>
            <w:shd w:val="clear" w:color="auto" w:fill="0A112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DC41FB3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E8CC6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E8CC6E"/>
                <w:sz w:val="20"/>
                <w:szCs w:val="20"/>
              </w:rPr>
              <w:t>#</w:t>
            </w:r>
          </w:p>
        </w:tc>
        <w:tc>
          <w:tcPr>
            <w:tcW w:w="0" w:type="auto"/>
            <w:shd w:val="clear" w:color="auto" w:fill="0A112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011986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E8CC6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E8CC6E"/>
                <w:sz w:val="20"/>
                <w:szCs w:val="20"/>
              </w:rPr>
              <w:t>Checklist item</w:t>
            </w:r>
          </w:p>
        </w:tc>
        <w:tc>
          <w:tcPr>
            <w:tcW w:w="0" w:type="auto"/>
            <w:shd w:val="clear" w:color="auto" w:fill="0A112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3D217E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E8CC6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E8CC6E"/>
                <w:sz w:val="20"/>
                <w:szCs w:val="20"/>
              </w:rPr>
              <w:t>Eisavant response</w:t>
            </w:r>
          </w:p>
        </w:tc>
        <w:tc>
          <w:tcPr>
            <w:tcW w:w="0" w:type="auto"/>
            <w:shd w:val="clear" w:color="auto" w:fill="0A112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D3AA341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E8CC6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E8CC6E"/>
                <w:sz w:val="20"/>
                <w:szCs w:val="20"/>
              </w:rPr>
              <w:t>Status</w:t>
            </w:r>
          </w:p>
        </w:tc>
      </w:tr>
      <w:tr w:rsidR="00000000" w14:paraId="22A6A1EE" w14:textId="77777777">
        <w:trPr>
          <w:divId w:val="1865942089"/>
        </w:trPr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CFA8662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0214C1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Turn on RLS for every table, including profile and junction tables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E2D79A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Done, including the junction table (position_candidates) and every table added since. FORCE is set so even the table-owner path cannot bypass it. New tables are private until a policy grants access.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noWrap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D75FE39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  <w:t>SATISFIED (automated)</w:t>
            </w:r>
          </w:p>
        </w:tc>
      </w:tr>
      <w:tr w:rsidR="00000000" w14:paraId="24AB6E28" w14:textId="77777777">
        <w:trPr>
          <w:divId w:val="1865942089"/>
        </w:trPr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D9EFD67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6C3F60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Test the app while logged out and while logged in as a different user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EC7E92A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This is exactly what the verification suite does: it exercises the database as an anonymous caller, as two different members, as support, as a client company, and as admin — and asserts each sees only what they should.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noWrap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48DF4D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  <w:t>SATISFIED (automated)</w:t>
            </w:r>
          </w:p>
        </w:tc>
      </w:tr>
      <w:tr w:rsidR="00000000" w14:paraId="18108067" w14:textId="77777777">
        <w:trPr>
          <w:divId w:val="1865942089"/>
        </w:trPr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ADBE8F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7745F79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Confirm users can only retrieve their own records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7F7189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Asserted directly: a member sees only their own user row, cannot read or update another member's profile, and cannot read staff notes. Cross-user updates affect 0 rows.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noWrap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3360AC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  <w:t>SATISFIED (automated)</w:t>
            </w:r>
          </w:p>
        </w:tc>
      </w:tr>
      <w:tr w:rsidR="00000000" w14:paraId="56AFF8C0" w14:textId="77777777">
        <w:trPr>
          <w:divId w:val="1865942089"/>
        </w:trPr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C1AA1B2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B9FEEF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Search the code for service_role, sb_secret, passwords, Stripe keys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E75E56C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 xml:space="preserve">No such keys exist in this stack. The repo contains no credentials: .env is gitignored, .env.example ships </w:t>
            </w: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lastRenderedPageBreak/>
              <w:t>placeholders only, and production secrets live in Railway service variables. Re-scan on every review.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noWrap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EF4ED4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  <w:lastRenderedPageBreak/>
              <w:t>SATISFIED</w:t>
            </w:r>
          </w:p>
        </w:tc>
      </w:tr>
      <w:tr w:rsidR="00000000" w14:paraId="1952E642" w14:textId="77777777">
        <w:trPr>
          <w:divId w:val="1865942089"/>
        </w:trPr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E6C095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A76DE03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Keep privileged code out of React/frontend files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D2FD050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All privileged code is in the Express API (the equivalent of Edge Functions in this architecture). The frontend only calls /api/* with a session cookie.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noWrap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E5761E2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  <w:t>SATISFIED</w:t>
            </w:r>
          </w:p>
        </w:tc>
      </w:tr>
      <w:tr w:rsidR="00000000" w14:paraId="798C7A74" w14:textId="77777777">
        <w:trPr>
          <w:divId w:val="1865942089"/>
        </w:trPr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582C93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DB2B886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Review storage bucket policies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C5DE491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Not applicable — no buckets. Files are RLS-protected database rows. If we later move to object storage for scale, files will be private-only with short-lived signed URLs, never public buckets.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noWrap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165A21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  <w:t>SATISFIED</w:t>
            </w:r>
          </w:p>
        </w:tc>
      </w:tr>
      <w:tr w:rsidR="00000000" w14:paraId="343EAFAF" w14:textId="77777777">
        <w:trPr>
          <w:divId w:val="1865942089"/>
        </w:trPr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42A582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0D43F53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Enable two-factor authentication on platform accounts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8E177E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 xml:space="preserve">Applies to the </w:t>
            </w:r>
            <w:r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  <w:t>GitHub and Railway accounts</w:t>
            </w: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 xml:space="preserve"> that control this infrastructure. Action for the account owner: enable 2FA on both. In-app MFA for admin logins is on the pre-production list.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noWrap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27E310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  <w:t>OWNER ACTION</w:t>
            </w:r>
          </w:p>
        </w:tc>
      </w:tr>
      <w:tr w:rsidR="00000000" w14:paraId="08E96351" w14:textId="77777777">
        <w:trPr>
          <w:divId w:val="1865942089"/>
        </w:trPr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E6A25E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1EFC92A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Run a security scan after every meaningful database change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052202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Our equivalent is stronger than a generic scan: run verify-rls.ts after every migration; it fails if any policy regresses. It has already caught one real bug during development.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noWrap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AF660B8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  <w:t>SATISFIED (automated)</w:t>
            </w:r>
          </w:p>
        </w:tc>
      </w:tr>
      <w:tr w:rsidR="00000000" w14:paraId="6EDE3C21" w14:textId="77777777">
        <w:trPr>
          <w:divId w:val="1865942089"/>
        </w:trPr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C93C043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B43C020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Avoid real health/financial/SSN/confidential client data until a professional review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12E7A26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333"/>
                <w:sz w:val="20"/>
                <w:szCs w:val="20"/>
              </w:rPr>
              <w:t>Agreed without reservation. The POC currently holds no real confidential data. Before real candidate dossiers (compensation, interview notes) are stored: professional security review, plus email verification, password reset, MFA, and token revocation.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noWrap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F10B435" w14:textId="77777777" w:rsidR="006C7DE4" w:rsidRDefault="006C7DE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C2333"/>
                <w:sz w:val="20"/>
                <w:szCs w:val="20"/>
              </w:rPr>
              <w:t>PLANNED GATE</w:t>
            </w:r>
          </w:p>
        </w:tc>
      </w:tr>
    </w:tbl>
    <w:p w14:paraId="5EB5B280" w14:textId="77777777" w:rsidR="006C7DE4" w:rsidRDefault="006C7DE4">
      <w:pPr>
        <w:pStyle w:val="Heading2"/>
        <w:divId w:val="1865942089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What "already automated" means (and what it does not)</w:t>
      </w:r>
    </w:p>
    <w:p w14:paraId="7B8DC3B8" w14:textId="77777777" w:rsidR="006C7DE4" w:rsidRDefault="006C7DE4">
      <w:pPr>
        <w:pStyle w:val="callout"/>
        <w:divId w:val="1865942089"/>
        <w:rPr>
          <w:rFonts w:ascii="Calibri" w:hAnsi="Calibri" w:cs="Calibri"/>
          <w:color w:val="1C2333"/>
          <w:sz w:val="22"/>
          <w:szCs w:val="22"/>
        </w:rPr>
      </w:pPr>
      <w:r>
        <w:rPr>
          <w:rFonts w:ascii="Calibri" w:hAnsi="Calibri" w:cs="Calibri"/>
          <w:color w:val="1C2333"/>
          <w:sz w:val="22"/>
          <w:szCs w:val="22"/>
        </w:rPr>
        <w:t xml:space="preserve">Items 1–3 are not </w:t>
      </w:r>
      <w:r>
        <w:rPr>
          <w:rFonts w:ascii="Calibri" w:hAnsi="Calibri" w:cs="Calibri"/>
          <w:i/>
          <w:iCs/>
          <w:color w:val="1C2333"/>
          <w:sz w:val="22"/>
          <w:szCs w:val="22"/>
        </w:rPr>
        <w:t>dismissed</w:t>
      </w:r>
      <w:r>
        <w:rPr>
          <w:rFonts w:ascii="Calibri" w:hAnsi="Calibri" w:cs="Calibri"/>
          <w:color w:val="1C2333"/>
          <w:sz w:val="22"/>
          <w:szCs w:val="22"/>
        </w:rPr>
        <w:t xml:space="preserve"> — they are </w:t>
      </w:r>
      <w:r>
        <w:rPr>
          <w:rFonts w:ascii="Calibri" w:hAnsi="Calibri" w:cs="Calibri"/>
          <w:i/>
          <w:iCs/>
          <w:color w:val="1C2333"/>
          <w:sz w:val="22"/>
          <w:szCs w:val="22"/>
        </w:rPr>
        <w:t>implemented and re-checked by code</w:t>
      </w:r>
      <w:r>
        <w:rPr>
          <w:rFonts w:ascii="Calibri" w:hAnsi="Calibri" w:cs="Calibri"/>
          <w:color w:val="1C2333"/>
          <w:sz w:val="22"/>
          <w:szCs w:val="22"/>
        </w:rPr>
        <w:t xml:space="preserve"> </w:t>
      </w:r>
      <w:r>
        <w:rPr>
          <w:rFonts w:ascii="Calibri" w:hAnsi="Calibri" w:cs="Calibri"/>
          <w:color w:val="1C2333"/>
          <w:sz w:val="22"/>
          <w:szCs w:val="22"/>
        </w:rPr>
        <w:t xml:space="preserve">on every schema change, which is more reliable than a one-time manual review. However, the automated suite proves the policies do what </w:t>
      </w:r>
      <w:r>
        <w:rPr>
          <w:rFonts w:ascii="Calibri" w:hAnsi="Calibri" w:cs="Calibri"/>
          <w:b/>
          <w:bCs/>
          <w:color w:val="1C2333"/>
          <w:sz w:val="22"/>
          <w:szCs w:val="22"/>
        </w:rPr>
        <w:t>we</w:t>
      </w:r>
      <w:r>
        <w:rPr>
          <w:rFonts w:ascii="Calibri" w:hAnsi="Calibri" w:cs="Calibri"/>
          <w:color w:val="1C2333"/>
          <w:sz w:val="22"/>
          <w:szCs w:val="22"/>
        </w:rPr>
        <w:t xml:space="preserve"> intended; it cannot prove our intentions are complete. That is why item 9 stands: an independent professional review remains the gate before real confidential executive-search data enters the system.</w:t>
      </w:r>
    </w:p>
    <w:p w14:paraId="089A6747" w14:textId="77777777" w:rsidR="006C7DE4" w:rsidRDefault="006C7DE4">
      <w:pPr>
        <w:pStyle w:val="Heading2"/>
        <w:divId w:val="1865942089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Executive-search readiness (added in migration 004)</w:t>
      </w:r>
    </w:p>
    <w:p w14:paraId="2678C4F8" w14:textId="77777777" w:rsidR="006C7DE4" w:rsidRDefault="006C7DE4">
      <w:pPr>
        <w:pStyle w:val="NormalWeb"/>
        <w:divId w:val="1865942089"/>
        <w:rPr>
          <w:rFonts w:ascii="Calibri" w:hAnsi="Calibri" w:cs="Calibri"/>
          <w:color w:val="1C2333"/>
          <w:sz w:val="22"/>
          <w:szCs w:val="22"/>
        </w:rPr>
      </w:pPr>
      <w:r>
        <w:rPr>
          <w:rFonts w:ascii="Calibri" w:hAnsi="Calibri" w:cs="Calibri"/>
          <w:color w:val="1C2333"/>
          <w:sz w:val="22"/>
          <w:szCs w:val="22"/>
        </w:rPr>
        <w:t>The consultant's closing paragraph — résumés, compensation, interview notes, rankings, client information — is the direction this codebase now anticipates:</w:t>
      </w:r>
    </w:p>
    <w:p w14:paraId="02291E16" w14:textId="77777777" w:rsidR="006C7DE4" w:rsidRDefault="006C7DE4">
      <w:pPr>
        <w:numPr>
          <w:ilvl w:val="0"/>
          <w:numId w:val="1"/>
        </w:numPr>
        <w:spacing w:before="100" w:beforeAutospacing="1" w:after="100" w:afterAutospacing="1"/>
        <w:divId w:val="1865942089"/>
        <w:rPr>
          <w:rFonts w:ascii="Calibri" w:eastAsia="Times New Roman" w:hAnsi="Calibri" w:cs="Calibri"/>
          <w:color w:val="1C23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333"/>
          <w:sz w:val="22"/>
          <w:szCs w:val="22"/>
        </w:rPr>
        <w:t>Client role:</w:t>
      </w:r>
      <w:r>
        <w:rPr>
          <w:rFonts w:ascii="Calibri" w:eastAsia="Times New Roman" w:hAnsi="Calibri" w:cs="Calibri"/>
          <w:color w:val="1C2333"/>
          <w:sz w:val="22"/>
          <w:szCs w:val="22"/>
        </w:rPr>
        <w:t xml:space="preserve"> client-company users see only their own company's positions and slates. Company assignment is admin-only, guarded at trigger level like role changes.</w:t>
      </w:r>
    </w:p>
    <w:p w14:paraId="7E73EA1C" w14:textId="77777777" w:rsidR="006C7DE4" w:rsidRDefault="006C7DE4">
      <w:pPr>
        <w:numPr>
          <w:ilvl w:val="0"/>
          <w:numId w:val="1"/>
        </w:numPr>
        <w:spacing w:before="100" w:beforeAutospacing="1" w:after="100" w:afterAutospacing="1"/>
        <w:divId w:val="1865942089"/>
        <w:rPr>
          <w:rFonts w:ascii="Calibri" w:eastAsia="Times New Roman" w:hAnsi="Calibri" w:cs="Calibri"/>
          <w:color w:val="1C23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333"/>
          <w:sz w:val="22"/>
          <w:szCs w:val="22"/>
        </w:rPr>
        <w:t>Disclosure ladder:</w:t>
      </w:r>
      <w:r>
        <w:rPr>
          <w:rFonts w:ascii="Calibri" w:eastAsia="Times New Roman" w:hAnsi="Calibri" w:cs="Calibri"/>
          <w:color w:val="1C2333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C2333"/>
          <w:sz w:val="22"/>
          <w:szCs w:val="22"/>
        </w:rPr>
        <w:t>candidates appear to clients as anonymous (summary only) → identified (name + profile) → full (adds CV), controlled per-candidate by admins and enforced by RLS — not by the UI.</w:t>
      </w:r>
    </w:p>
    <w:p w14:paraId="3FE93640" w14:textId="77777777" w:rsidR="006C7DE4" w:rsidRDefault="006C7DE4">
      <w:pPr>
        <w:numPr>
          <w:ilvl w:val="0"/>
          <w:numId w:val="1"/>
        </w:numPr>
        <w:spacing w:before="100" w:beforeAutospacing="1" w:after="100" w:afterAutospacing="1"/>
        <w:divId w:val="1865942089"/>
        <w:rPr>
          <w:rFonts w:ascii="Calibri" w:eastAsia="Times New Roman" w:hAnsi="Calibri" w:cs="Calibri"/>
          <w:color w:val="1C23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333"/>
          <w:sz w:val="22"/>
          <w:szCs w:val="22"/>
        </w:rPr>
        <w:t>Read auditing:</w:t>
      </w:r>
      <w:r>
        <w:rPr>
          <w:rFonts w:ascii="Calibri" w:eastAsia="Times New Roman" w:hAnsi="Calibri" w:cs="Calibri"/>
          <w:color w:val="1C2333"/>
          <w:sz w:val="22"/>
          <w:szCs w:val="22"/>
        </w:rPr>
        <w:t xml:space="preserve"> staff profile views, staff CV downloads, client slate views, and client CV downloads are all written to the append-only audit log.</w:t>
      </w:r>
    </w:p>
    <w:p w14:paraId="70D30C64" w14:textId="77777777" w:rsidR="006C7DE4" w:rsidRDefault="006C7DE4">
      <w:pPr>
        <w:numPr>
          <w:ilvl w:val="0"/>
          <w:numId w:val="1"/>
        </w:numPr>
        <w:spacing w:before="100" w:beforeAutospacing="1" w:after="100" w:afterAutospacing="1"/>
        <w:divId w:val="1865942089"/>
        <w:rPr>
          <w:rFonts w:ascii="Calibri" w:eastAsia="Times New Roman" w:hAnsi="Calibri" w:cs="Calibri"/>
          <w:color w:val="1C23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333"/>
          <w:sz w:val="22"/>
          <w:szCs w:val="22"/>
        </w:rPr>
        <w:t>Narrowed support visibility:</w:t>
      </w:r>
      <w:r>
        <w:rPr>
          <w:rFonts w:ascii="Calibri" w:eastAsia="Times New Roman" w:hAnsi="Calibri" w:cs="Calibri"/>
          <w:color w:val="1C2333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C2333"/>
          <w:sz w:val="22"/>
          <w:szCs w:val="22"/>
        </w:rPr>
        <w:t>support has no access to recruiting tables. Future compensation and interview-note tables should follow the same pattern: separate tables, strictest-possible policies, read-audited.</w:t>
      </w:r>
    </w:p>
    <w:sectPr w:rsidR="006C7D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BC3D83"/>
    <w:multiLevelType w:val="multilevel"/>
    <w:tmpl w:val="9E06F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94803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9BA"/>
    <w:rsid w:val="006C7DE4"/>
    <w:rsid w:val="00F509BA"/>
    <w:rsid w:val="00FF7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C074BEB"/>
  <w15:chartTrackingRefBased/>
  <w15:docId w15:val="{B61E707F-568A-4837-8A87-35386608C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8" w:space="5" w:color="C9A227"/>
      </w:pBdr>
      <w:spacing w:before="100" w:beforeAutospacing="1" w:after="100" w:afterAutospacing="1"/>
      <w:outlineLvl w:val="0"/>
    </w:pPr>
    <w:rPr>
      <w:b/>
      <w:bCs/>
      <w:color w:val="0A1128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0A1128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paragraph" w:customStyle="1" w:styleId="status">
    <w:name w:val="status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meta">
    <w:name w:val="meta"/>
    <w:basedOn w:val="Normal"/>
    <w:pPr>
      <w:spacing w:before="100" w:beforeAutospacing="1" w:after="100" w:afterAutospacing="1"/>
    </w:pPr>
    <w:rPr>
      <w:color w:val="4C566A"/>
      <w:sz w:val="20"/>
      <w:szCs w:val="20"/>
    </w:rPr>
  </w:style>
  <w:style w:type="paragraph" w:customStyle="1" w:styleId="callout">
    <w:name w:val="callout"/>
    <w:basedOn w:val="Normal"/>
    <w:pPr>
      <w:pBdr>
        <w:left w:val="single" w:sz="24" w:space="11" w:color="C9A227"/>
      </w:pBdr>
      <w:shd w:val="clear" w:color="auto" w:fill="F4EFE2"/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5942089">
      <w:bodyDiv w:val="1"/>
      <w:marLeft w:val="600"/>
      <w:marRight w:val="600"/>
      <w:marTop w:val="600"/>
      <w:marBottom w:val="6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991</Words>
  <Characters>5649</Characters>
  <Application>Microsoft Office Word</Application>
  <DocSecurity>0</DocSecurity>
  <Lines>47</Lines>
  <Paragraphs>13</Paragraphs>
  <ScaleCrop>false</ScaleCrop>
  <Company/>
  <LinksUpToDate>false</LinksUpToDate>
  <CharactersWithSpaces>6627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Security Checklist — Eisavant Responses</dc:title>
  <dc:subject/>
  <dc:creator>Brian Beardmore</dc:creator>
  <cp:keywords/>
  <dc:description/>
  <cp:lastModifiedBy>Brian Beardmore</cp:lastModifiedBy>
  <cp:revision>2</cp:revision>
  <dcterms:created xsi:type="dcterms:W3CDTF">2026-07-23T18:01:00Z</dcterms:created>
  <dcterms:modified xsi:type="dcterms:W3CDTF">2026-07-23T18:01:00Z</dcterms:modified>
</cp:coreProperties>
</file>