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775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yellow"/>
          <w:lang w:eastAsia="zh-CN"/>
        </w:rPr>
        <w:t>借款合同公示</w:t>
      </w:r>
      <w:r>
        <w:rPr>
          <w:rFonts w:hint="default"/>
          <w:lang w:eastAsia="zh-CN"/>
        </w:rPr>
        <w:t>　　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"https://www.abchina.com/cn/RuralSvc/Individuals/jkhtgs/"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借款合同公示_中国农业银行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均有PDF文件</w:t>
      </w:r>
    </w:p>
    <w:p w14:paraId="3E3A7A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0AD0DF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《农户贷款借款合同》</w:t>
      </w:r>
    </w:p>
    <w:p w14:paraId="30E28A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《农户贷款借款合同（网络版）》</w:t>
      </w:r>
    </w:p>
    <w:p w14:paraId="571D62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《农户贷款无还本续贷协议》</w:t>
      </w:r>
    </w:p>
    <w:p w14:paraId="7D1C70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《农户贷款重组协议》</w:t>
      </w:r>
    </w:p>
    <w:p w14:paraId="20113D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注：具体开办的业务种类及办理程序、办理条件等以中国农业银行当地分行有关规定为准。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94F5337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3B20710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2026-01-12T09:37:33Z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8A72DEADB6C841D79FC33D0545003262_12</vt:lpwstr>
  </property>
</Properties>
</file>