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97DEB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链接：</w:t>
      </w:r>
      <w:r>
        <w:rPr>
          <w:rFonts w:hint="default"/>
          <w:lang w:eastAsia="zh-CN"/>
        </w:rPr>
        <w:fldChar w:fldCharType="begin"/>
      </w:r>
      <w:r>
        <w:rPr>
          <w:rFonts w:hint="default"/>
          <w:lang w:eastAsia="zh-CN"/>
        </w:rPr>
        <w:instrText xml:space="preserve"> HYPERLINK "https://www.bjrcb.com/pc/cn/xczx/tsnd/zjdfwjsdk/20230915/14648.shtml" </w:instrText>
      </w:r>
      <w:r>
        <w:rPr>
          <w:rFonts w:hint="default"/>
          <w:lang w:eastAsia="zh-CN"/>
        </w:rPr>
        <w:fldChar w:fldCharType="separate"/>
      </w:r>
      <w:r>
        <w:rPr>
          <w:rStyle w:val="14"/>
          <w:rFonts w:hint="default"/>
          <w:lang w:eastAsia="zh-CN"/>
        </w:rPr>
        <w:t>https://www.bjrcb.com/pc/cn/xczx/tsnd/zjdfwjsdk/20230915/14648.shtml</w:t>
      </w:r>
      <w:r>
        <w:rPr>
          <w:rFonts w:hint="default"/>
          <w:lang w:eastAsia="zh-CN"/>
        </w:rPr>
        <w:fldChar w:fldCharType="end"/>
      </w:r>
    </w:p>
    <w:p w14:paraId="37E583E5">
      <w:pPr>
        <w:rPr>
          <w:rFonts w:hint="default"/>
          <w:lang w:eastAsia="zh-CN"/>
        </w:rPr>
      </w:pPr>
    </w:p>
    <w:p w14:paraId="63B723C5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  <w:lang w:eastAsia="zh-CN"/>
        </w:rPr>
        <w:t>宅基地房屋建设贷款</w:t>
      </w:r>
    </w:p>
    <w:p w14:paraId="195D9961">
      <w:pPr>
        <w:rPr>
          <w:rFonts w:hint="default"/>
          <w:lang w:eastAsia="zh-CN"/>
        </w:rPr>
      </w:pPr>
    </w:p>
    <w:p w14:paraId="7535EC92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 xml:space="preserve">## </w:t>
      </w:r>
      <w:r>
        <w:rPr>
          <w:rFonts w:hint="default"/>
          <w:lang w:eastAsia="zh-CN"/>
        </w:rPr>
        <w:t>产品简介：</w:t>
      </w:r>
    </w:p>
    <w:p w14:paraId="2D20CCE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“宅基地房屋建设贷款”是本行向在宅基地上进行房屋建设（包括新建、改建、扩建、翻建）、装修的农村居民发放的用于改善居住环境的特色农贷。</w:t>
      </w:r>
    </w:p>
    <w:p w14:paraId="28B51C3C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 xml:space="preserve">## </w:t>
      </w:r>
      <w:r>
        <w:rPr>
          <w:rFonts w:hint="default"/>
          <w:lang w:eastAsia="zh-CN"/>
        </w:rPr>
        <w:t>适用客户：</w:t>
      </w:r>
    </w:p>
    <w:p w14:paraId="7A071B0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年龄18-80周岁，信用良好。</w:t>
      </w:r>
    </w:p>
    <w:p w14:paraId="600908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具有宅基地房屋建设需求的北京农村居民。</w:t>
      </w:r>
    </w:p>
    <w:p w14:paraId="5B2CD0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自有资金不低于30%（贷款仅用于装修用途的业务除外）。</w:t>
      </w:r>
    </w:p>
    <w:p w14:paraId="1A17CAFD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 xml:space="preserve">## </w:t>
      </w:r>
      <w:bookmarkStart w:id="0" w:name="_GoBack"/>
      <w:bookmarkEnd w:id="0"/>
      <w:r>
        <w:rPr>
          <w:rFonts w:hint="default"/>
          <w:lang w:eastAsia="zh-CN"/>
        </w:rPr>
        <w:t>产品特点：</w:t>
      </w:r>
    </w:p>
    <w:p w14:paraId="6BACD64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专项支持新建、改建、扩建、翻建、装修宅基地房屋。</w:t>
      </w:r>
    </w:p>
    <w:p w14:paraId="7A306EB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贷款额度较高，最高50万元。</w:t>
      </w:r>
    </w:p>
    <w:p w14:paraId="1FCCB5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贷款期限较长，最长可达5年。</w:t>
      </w:r>
    </w:p>
    <w:p w14:paraId="406653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可增设一名共同借款人。</w:t>
      </w:r>
    </w:p>
    <w:p w14:paraId="26487B6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支持保证、抵押、质押担保及信用方式。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DC25471"/>
    <w:rsid w:val="43446334"/>
    <w:rsid w:val="44A84E71"/>
    <w:rsid w:val="477DCE1E"/>
    <w:rsid w:val="4FFE3EFB"/>
    <w:rsid w:val="573E1E21"/>
    <w:rsid w:val="5B487E91"/>
    <w:rsid w:val="5CF9550F"/>
    <w:rsid w:val="5E52037B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227</Words>
  <Characters>301</Characters>
  <Lines>0</Lines>
  <Paragraphs>0</Paragraphs>
  <TotalTime>1</TotalTime>
  <ScaleCrop>false</ScaleCrop>
  <LinksUpToDate>false</LinksUpToDate>
  <CharactersWithSpaces>302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2026-02-19T10:42:42Z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BC98E318C8D04FD6B49D1EA1D733A33A_12</vt:lpwstr>
  </property>
</Properties>
</file>