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79ADC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Style w:val="14"/>
          <w:rFonts w:hint="eastAsia"/>
          <w:color w:val="0000FF"/>
          <w:lang w:val="en-US" w:eastAsia="zh-CN"/>
        </w:rPr>
        <w:t>链接：https://www.bjrcb.com/pc/cn/puhuijinrong/sngryw/nbkd/20241108/119880.shtml</w:t>
      </w:r>
    </w:p>
    <w:p w14:paraId="35BC6635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2EEDF657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 </w:t>
      </w:r>
      <w:r>
        <w:rPr>
          <w:rFonts w:hint="default"/>
          <w:b/>
          <w:bCs/>
          <w:lang w:eastAsia="zh-CN"/>
        </w:rPr>
        <w:t>农保快贷</w:t>
      </w:r>
    </w:p>
    <w:p w14:paraId="4F0332AD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产品简介：</w:t>
      </w:r>
    </w:p>
    <w:p w14:paraId="6D4EEC4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“农保快贷”是指本行向由北京农担公司提供100%本金担保的涉农领域经营者发放的，用于补充生产经营所需资金的贷款。包括对公流动资金贷款和个人经营贷款。</w:t>
      </w:r>
    </w:p>
    <w:p w14:paraId="7F785E94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适用客户：</w:t>
      </w:r>
    </w:p>
    <w:p w14:paraId="427CC8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“农保快贷”用于支付借款人从事传统农林牧渔业、支农助农及农村新产业新业态经营活动所需流动资金，其中个人经营贷款借款人可支付用于生产经营中建设、购置固定资产等所需资金。</w:t>
      </w:r>
    </w:p>
    <w:p w14:paraId="53D8A882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产品特点：</w:t>
      </w:r>
    </w:p>
    <w:p w14:paraId="031D755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贷款额度：最高300万元（含）。</w:t>
      </w:r>
    </w:p>
    <w:p w14:paraId="32F0914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贷款期限：对公流动资金贷款贷款期限最长不超过3年（含）；个人经营贷款贷款期限最长不超过5年（含）。</w:t>
      </w:r>
    </w:p>
    <w:p w14:paraId="0374317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业务流程简便：与担保公司深度合作，采用100%本金担保，手续简便、绿色通道、可实现快速审批。</w:t>
      </w:r>
    </w:p>
    <w:p w14:paraId="748402E0">
      <w:pPr>
        <w:rPr>
          <w:rFonts w:hint="default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6A4003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2026-02-19T11:28:29Z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6543191EFF3C454797D0E7BFE503202C_12</vt:lpwstr>
  </property>
</Properties>
</file>