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3A711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链接：https://www.bjrcb.com/pc/cn/puhuijinrong/sngryw/bged/20241108/119881.shtml</w:t>
      </w:r>
    </w:p>
    <w:p w14:paraId="2E6115EB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1E9856DB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 </w:t>
      </w:r>
      <w:r>
        <w:rPr>
          <w:rFonts w:hint="default"/>
          <w:b/>
          <w:bCs/>
          <w:lang w:eastAsia="zh-CN"/>
        </w:rPr>
        <w:t>保供e贷</w:t>
      </w:r>
    </w:p>
    <w:p w14:paraId="4ABBD858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产品简介：</w:t>
      </w:r>
    </w:p>
    <w:p w14:paraId="424C70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“保供e贷”是指本行向农副产品流通行业客户提供的线上个人经营贷款服务。</w:t>
      </w:r>
    </w:p>
    <w:p w14:paraId="65A9340A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适用客户：</w:t>
      </w:r>
    </w:p>
    <w:p w14:paraId="4400BC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从事北京地区或服务首都地区民生相关的便民菜店、水果店、蔬菜店等农副产品流通行业商户个人。</w:t>
      </w:r>
    </w:p>
    <w:p w14:paraId="1A7A1721">
      <w:pPr>
        <w:numPr>
          <w:ilvl w:val="0"/>
          <w:numId w:val="0"/>
        </w:numPr>
        <w:ind w:leftChars="0"/>
        <w:rPr>
          <w:rFonts w:hint="default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## </w:t>
      </w:r>
      <w:r>
        <w:rPr>
          <w:rFonts w:hint="default"/>
          <w:b/>
          <w:bCs/>
          <w:lang w:eastAsia="zh-CN"/>
        </w:rPr>
        <w:t>产品特点：</w:t>
      </w:r>
    </w:p>
    <w:p w14:paraId="283BD8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贷款额度：最高1000万元（含）。</w:t>
      </w:r>
    </w:p>
    <w:p w14:paraId="2764C6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贷款期限：最长5年（含）。</w:t>
      </w:r>
    </w:p>
    <w:p w14:paraId="0F5763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全线上化操作:客户可通过“保供e贷客户服务端”实现贷款线上申请、签署合同、提款、还款及查询等功能。贷款环节精简化，贷款流程可视化。</w:t>
      </w:r>
    </w:p>
    <w:p w14:paraId="7A9A34AE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D86443A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2026-02-19T11:28:37Z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A07583B80C7B484EBBE6C98C93AD8753_12</vt:lpwstr>
  </property>
</Properties>
</file>