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56DFA">
      <w:pPr>
        <w:numPr>
          <w:ilvl w:val="0"/>
          <w:numId w:val="0"/>
        </w:numPr>
        <w:ind w:leftChars="0"/>
        <w:rPr>
          <w:rFonts w:hint="eastAsia"/>
          <w:b/>
          <w:bCs/>
          <w:lang w:val="en-US" w:eastAsia="zh-CN"/>
        </w:rPr>
      </w:pPr>
      <w:r>
        <w:rPr>
          <w:rStyle w:val="14"/>
          <w:rFonts w:hint="eastAsia"/>
          <w:color w:val="0000FF"/>
          <w:lang w:val="en-US" w:eastAsia="zh-CN"/>
        </w:rPr>
        <w:t>链接：https://www.bjrcb.com/pc/cn/puhuijinrong/tsdbyw/jtzcjyq/20220221/14643.shtml</w:t>
      </w:r>
    </w:p>
    <w:p w14:paraId="36C20DDB">
      <w:pPr>
        <w:numPr>
          <w:ilvl w:val="0"/>
          <w:numId w:val="0"/>
        </w:numPr>
        <w:ind w:leftChars="0"/>
        <w:rPr>
          <w:rFonts w:hint="eastAsia"/>
          <w:b/>
          <w:bCs/>
          <w:lang w:val="en-US" w:eastAsia="zh-CN"/>
        </w:rPr>
      </w:pPr>
    </w:p>
    <w:p w14:paraId="799F9320">
      <w:pPr>
        <w:numPr>
          <w:ilvl w:val="0"/>
          <w:numId w:val="0"/>
        </w:numPr>
        <w:ind w:leftChars="0"/>
        <w:rPr>
          <w:rFonts w:hint="default"/>
          <w:b/>
          <w:bCs/>
          <w:color w:val="auto"/>
          <w:lang w:eastAsia="zh-CN"/>
        </w:rPr>
      </w:pPr>
      <w:r>
        <w:rPr>
          <w:rFonts w:hint="eastAsia"/>
          <w:b/>
          <w:bCs/>
          <w:lang w:val="en-US" w:eastAsia="zh-CN"/>
        </w:rPr>
        <w:t xml:space="preserve"># </w:t>
      </w:r>
      <w:r>
        <w:rPr>
          <w:rFonts w:hint="default"/>
          <w:b/>
          <w:bCs/>
          <w:color w:val="auto"/>
          <w:lang w:eastAsia="zh-CN"/>
        </w:rPr>
        <w:t>集体资产经营权质押业务</w:t>
      </w:r>
    </w:p>
    <w:p w14:paraId="0D41671F">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1CDCF1B8">
      <w:pPr>
        <w:numPr>
          <w:ilvl w:val="0"/>
          <w:numId w:val="0"/>
        </w:numPr>
        <w:ind w:leftChars="0"/>
        <w:rPr>
          <w:rFonts w:hint="default"/>
          <w:lang w:eastAsia="zh-CN"/>
        </w:rPr>
      </w:pPr>
      <w:r>
        <w:rPr>
          <w:rFonts w:hint="default"/>
          <w:lang w:eastAsia="zh-CN"/>
        </w:rPr>
        <w:t>集体资产经营权质押业务主要是指在办理农工商公司贷款业务时，基于当前对农工商公司贷款的信贷政策和管理要求，增加一种以农工商公司持有的集体资产经营权作为质押物的担保方式，通过农交所的产权流转服务平台和农村产权抵质押信息库，实现权利质押功能，增加对农工商公司贷款的风险防控措施。</w:t>
      </w:r>
    </w:p>
    <w:p w14:paraId="60AA9193">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7D09054B">
      <w:pPr>
        <w:numPr>
          <w:ilvl w:val="0"/>
          <w:numId w:val="0"/>
        </w:numPr>
        <w:ind w:leftChars="0"/>
        <w:rPr>
          <w:rFonts w:hint="default"/>
          <w:lang w:eastAsia="zh-CN"/>
        </w:rPr>
      </w:pPr>
      <w:r>
        <w:rPr>
          <w:rFonts w:hint="default"/>
          <w:lang w:eastAsia="zh-CN"/>
        </w:rPr>
        <w:t>取得政府相关部门颁发的营业执照或登记证书的农村集体经济组织，具体包括集体所有制的农工商公司、经济合作社等集体经济组织及其直接或间接控股的下属企业等。</w:t>
      </w:r>
    </w:p>
    <w:p w14:paraId="309A2C58">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39597337">
      <w:pPr>
        <w:numPr>
          <w:ilvl w:val="0"/>
          <w:numId w:val="0"/>
        </w:numPr>
        <w:ind w:leftChars="0"/>
        <w:rPr>
          <w:rFonts w:hint="default"/>
          <w:lang w:eastAsia="zh-CN"/>
        </w:rPr>
      </w:pPr>
      <w:r>
        <w:rPr>
          <w:rFonts w:hint="default"/>
          <w:lang w:eastAsia="zh-CN"/>
        </w:rPr>
        <w:t>1.贷款期限不得超过经营权的剩余年限。</w:t>
      </w:r>
    </w:p>
    <w:p w14:paraId="70E8AF4F">
      <w:pPr>
        <w:numPr>
          <w:ilvl w:val="0"/>
          <w:numId w:val="0"/>
        </w:numPr>
        <w:ind w:leftChars="0"/>
        <w:rPr>
          <w:rFonts w:hint="default"/>
          <w:lang w:eastAsia="zh-CN"/>
        </w:rPr>
      </w:pPr>
      <w:r>
        <w:rPr>
          <w:rFonts w:hint="default"/>
          <w:lang w:eastAsia="zh-CN"/>
        </w:rPr>
        <w:t>2.集体资产经营权的质押率不超过70％。对于作为组合或补充担保方式的集体资产经营权，不受质押率的限制。</w:t>
      </w:r>
    </w:p>
    <w:p w14:paraId="6D79FD45">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631A9CA7">
      <w:pPr>
        <w:numPr>
          <w:ilvl w:val="0"/>
          <w:numId w:val="0"/>
        </w:numPr>
        <w:ind w:leftChars="0"/>
        <w:rPr>
          <w:rFonts w:hint="default"/>
          <w:lang w:eastAsia="zh-CN"/>
        </w:rPr>
      </w:pPr>
      <w:r>
        <w:rPr>
          <w:rFonts w:hint="default"/>
          <w:lang w:eastAsia="zh-CN"/>
        </w:rPr>
        <w:t>有效解决农工商公司缺乏抵质押物的担保问题。</w:t>
      </w:r>
    </w:p>
    <w:p w14:paraId="52A14F68">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3FF1044"/>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53F2AA1A3C60486F846DEB52591F2522_12</vt:lpwstr>
  </property>
</Properties>
</file>