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B8CE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链接：https://www.bjrcb.com/pc/cn/puhuijinrong/tsdbyw/htscdy/20230915/14646.shtml</w:t>
      </w:r>
    </w:p>
    <w:p w14:paraId="3D8F4F2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12FA8C73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color w:val="auto"/>
          <w:lang w:eastAsia="zh-CN"/>
        </w:rPr>
        <w:t>活体牲畜抵押贷款</w:t>
      </w:r>
    </w:p>
    <w:p w14:paraId="05CFE899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635AC3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活体牲畜抵押贷款是指以活体牲畜作为抵押物，向符合条件的借款人发放的用于日常经营的贷款。</w:t>
      </w:r>
    </w:p>
    <w:p w14:paraId="58BE9012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4AD1B1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企业法人、事业单位法人或其他经济组织。</w:t>
      </w:r>
    </w:p>
    <w:p w14:paraId="1E131D61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2E3E8A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贷款用途：牲畜养殖主体日常经营资金需求。</w:t>
      </w:r>
    </w:p>
    <w:p w14:paraId="30A0E7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贷款额度：结合生产经营、资金需求等因素综合确定。</w:t>
      </w:r>
    </w:p>
    <w:p w14:paraId="096454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贷款期限：最长3年。</w:t>
      </w:r>
    </w:p>
    <w:p w14:paraId="2C3841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担保方式：活体牲畜抵押或我行认可的其他担保方式。</w:t>
      </w:r>
    </w:p>
    <w:p w14:paraId="747F3836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产品功能：</w:t>
      </w:r>
    </w:p>
    <w:p w14:paraId="01A735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盘活养殖企业生物资产的金融属性，解决养殖行业的融资难题。</w:t>
      </w:r>
    </w:p>
    <w:p w14:paraId="46CA8AD5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1C4ACE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3C4CDCD2B84843C697EF1721135EEEC2_12</vt:lpwstr>
  </property>
</Properties>
</file>