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5C7A4">
      <w:pPr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</w:t>
      </w:r>
      <w:r>
        <w:rPr>
          <w:rStyle w:val="14"/>
          <w:rFonts w:hint="default"/>
          <w:color w:val="0000FF"/>
          <w:lang w:val="en-US" w:eastAsia="zh-CN"/>
        </w:rPr>
        <w:t>https://www.bjrcb.com/pc/cn/puhuijinrong/sngryw/xmj/20190820/14649.shtml</w:t>
      </w:r>
    </w:p>
    <w:p w14:paraId="420862E3">
      <w:pPr>
        <w:numPr>
          <w:numId w:val="0"/>
        </w:numPr>
        <w:ind w:leftChars="0"/>
        <w:rPr>
          <w:rFonts w:hint="default"/>
          <w:b/>
          <w:bCs/>
          <w:lang w:eastAsia="zh-CN"/>
        </w:rPr>
      </w:pPr>
    </w:p>
    <w:p w14:paraId="40218A29">
      <w:pPr>
        <w:numPr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eastAsia="zh-CN"/>
        </w:rPr>
        <w:t>新民居（经营）贷款</w:t>
      </w:r>
    </w:p>
    <w:p w14:paraId="55C4C14D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  <w:bookmarkStart w:id="0" w:name="_GoBack"/>
      <w:bookmarkEnd w:id="0"/>
    </w:p>
    <w:p w14:paraId="345556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“新民居（经营）贷款”是本行面向由政府引导，以村为单位，对村内新民居进行整体规划建设，用于农民居住自主兼顾发展民宿旅游接待等项目的特色农贷。</w:t>
      </w:r>
    </w:p>
    <w:p w14:paraId="0FD5D19F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4098C6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年龄18-65周岁，信用良好。</w:t>
      </w:r>
    </w:p>
    <w:p w14:paraId="1D87BD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具有区级以上政府部门关于“新民居”建设的批复函。</w:t>
      </w:r>
    </w:p>
    <w:p w14:paraId="6473A1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村委会出具贷款意向名单。</w:t>
      </w:r>
    </w:p>
    <w:p w14:paraId="18DBAD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自有资金不低于40%。</w:t>
      </w:r>
    </w:p>
    <w:p w14:paraId="3528A38B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05CD72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专项支持新民居项目。</w:t>
      </w:r>
    </w:p>
    <w:p w14:paraId="359634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贷款额度较高，最高100万元。</w:t>
      </w:r>
    </w:p>
    <w:p w14:paraId="528495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贷款期限较长，可根据借款人未来收入情况灵活设置还款计划，最长可达5年。</w:t>
      </w:r>
    </w:p>
    <w:p w14:paraId="26236C2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担保方式灵活，可采用抵押、质押、保证或组合担保等多种方式。</w:t>
      </w:r>
    </w:p>
    <w:p w14:paraId="40D99D11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4657BCB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A188B93BDD9E43CEA220AF1CD011316A_12</vt:lpwstr>
  </property>
</Properties>
</file>