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5DCD7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Style w:val="14"/>
          <w:rFonts w:hint="eastAsia"/>
          <w:color w:val="0000FF"/>
          <w:lang w:val="en-US" w:eastAsia="zh-CN"/>
        </w:rPr>
        <w:t>链接：https://www.bjrcb.com/pc/cn/puhuijinrong/sndgyw/jtcydk/20190820/14637.shtml</w:t>
      </w:r>
    </w:p>
    <w:p w14:paraId="34BB0425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421AEE27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 </w:t>
      </w:r>
      <w:r>
        <w:rPr>
          <w:rFonts w:hint="default"/>
          <w:b/>
          <w:bCs/>
          <w:lang w:eastAsia="zh-CN"/>
        </w:rPr>
        <w:t>集体产业贷款</w:t>
      </w:r>
    </w:p>
    <w:p w14:paraId="71412439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产品简介：</w:t>
      </w:r>
    </w:p>
    <w:p w14:paraId="4984A57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集体产业贷款是指本行向借款人发放的，用于支持集体产业项目建设、购置及建成后运营维护、日常经营等支出的贷款。</w:t>
      </w:r>
    </w:p>
    <w:p w14:paraId="2BBA96CC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适用客户：</w:t>
      </w:r>
    </w:p>
    <w:p w14:paraId="7C4F666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参与投资建设、购置、运营集体产业项目，取得政府相关部门颁发的营业执照或登记证书的农村集体经济组织，或与其合作、受其委托的其他企业。</w:t>
      </w:r>
    </w:p>
    <w:p w14:paraId="2096DFE2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产品特点：</w:t>
      </w:r>
    </w:p>
    <w:p w14:paraId="4790DDC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贷款用途：可用于集体产业项目建设、购置及建成后运营维护、日常经营等支出。</w:t>
      </w:r>
    </w:p>
    <w:p w14:paraId="41468CB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贷款额度：用于集体产业项目建设、购置的，不超过项目总投资的80%。</w:t>
      </w:r>
    </w:p>
    <w:p w14:paraId="7B123E4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贷款期限：最长20年。</w:t>
      </w:r>
    </w:p>
    <w:p w14:paraId="5D68AC4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担保方式：抵押、质押、保证或组合担保等。</w:t>
      </w:r>
    </w:p>
    <w:p w14:paraId="5FF7DEFB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产品功能：</w:t>
      </w:r>
    </w:p>
    <w:p w14:paraId="156E253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涵盖集体产业新建、购置及运营等多个环节。</w:t>
      </w:r>
    </w:p>
    <w:p w14:paraId="43896127">
      <w:pPr>
        <w:rPr>
          <w:rFonts w:hint="default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A91B82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lenovo</dc:creator>
  <cp:lastModifiedBy>吴淑媛</cp:lastModifiedBy>
  <dcterms:modified xsi:type="dcterms:W3CDTF">2026-02-19T11:34:17Z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eyJoZGlkIjoiNDRlNTcxZDBmMjIyOGZjNTA2ZGRhZDhmNjhiM2NhYzYiLCJ1c2VySWQiOiI5MDcyMjk2MTkifQ==</vt:lpwstr>
  </property>
  <property fmtid="{D5CDD505-2E9C-101B-9397-08002B2CF9AE}" pid="6" name="ICV">
    <vt:lpwstr>EBDBB24DF12243169DA75CF148D026F3_12</vt:lpwstr>
  </property>
</Properties>
</file>