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7A0A4">
      <w:pPr>
        <w:widowControl w:val="0"/>
        <w:numPr>
          <w:ilvl w:val="0"/>
          <w:numId w:val="0"/>
        </w:numPr>
        <w:ind w:leftChars="0"/>
        <w:jc w:val="left"/>
        <w:rPr>
          <w:rStyle w:val="14"/>
          <w:rFonts w:hint="default"/>
          <w:color w:val="0000FF"/>
          <w:lang w:val="en-US" w:eastAsia="zh-CN"/>
        </w:rPr>
      </w:pPr>
      <w:r>
        <w:rPr>
          <w:rStyle w:val="14"/>
          <w:rFonts w:hint="eastAsia"/>
          <w:color w:val="0000FF"/>
          <w:lang w:val="en-US" w:eastAsia="zh-CN"/>
        </w:rPr>
        <w:t>链接：https://bankofbeijing.com.cn/bobbank/seconddetail?column=1554278817386983424</w:t>
      </w:r>
    </w:p>
    <w:p w14:paraId="23C40441">
      <w:pPr>
        <w:rPr>
          <w:rFonts w:hint="default"/>
          <w:lang w:eastAsia="zh-CN"/>
        </w:rPr>
      </w:pPr>
      <w:bookmarkStart w:id="0" w:name="_GoBack"/>
      <w:bookmarkEnd w:id="0"/>
    </w:p>
    <w:p w14:paraId="6A71672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北京银行成立于1996年，抢抓时代机遇，相继实现引资、上市、跨区域等发展突破，在北京、天津、上海、西安、深圳、杭州、长沙、南京、济南、南昌、石家庄、乌鲁木齐、青岛、宁波、苏州等十余个中心城市设立630余家分支机构。近年来，全力做好科技金融、绿色金融、普惠金融、养老金融、数字金融“五篇大文章”，着力建设儿童友好型银行、伴您一生的银行、专精特新第一行、成就人才梦想的银行、人工智能驱动的商业银行“五大特色银行”，致力于打造一家不一样、有特色、想得起、记得住、用得上、受尊敬的银行。</w:t>
      </w:r>
    </w:p>
    <w:p w14:paraId="7EA7956E">
      <w:pPr>
        <w:rPr>
          <w:rFonts w:hint="default"/>
          <w:lang w:eastAsia="zh-CN"/>
        </w:rPr>
      </w:pPr>
    </w:p>
    <w:p w14:paraId="402A2FB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截至2024年末，北京银行资产总额4.22万亿元，2024年实现归母净利润258.31亿元，成本收入比29.13%，不良贷款率1.31%，拨备覆盖率208.75%，资本充足率13.06%，各项经营指标均达到国际银行业先进水平。品牌价值达1036.62亿元。一级资本排名全球千家大银行51位，连续11年跻身全球银行业百强。</w:t>
      </w:r>
    </w:p>
    <w:p w14:paraId="7CDF6A95">
      <w:pPr>
        <w:rPr>
          <w:rFonts w:hint="default"/>
          <w:lang w:eastAsia="zh-CN"/>
        </w:rPr>
      </w:pPr>
    </w:p>
    <w:p w14:paraId="192BD32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北京银行凭借优秀的经营业绩和优质的金融服务，赢得了社会各界的高度赞誉，先后荣获“全国文明单位”“亚洲十大最佳上市银行”“中国最佳城市商业零售银行”“最佳区域性银行”“最佳支持中小企业贡献奖”“中国上市公司百强企业”“中国社会责任优秀企业”“最具持续投资价值上市公司”“中国最受尊敬企业”“最受尊敬银行”“最值得百姓信赖的银行机构”“中国优秀企业公民”“最佳供应链金融银行”“年度最佳科创金融服务银行”等称号。</w:t>
      </w:r>
    </w:p>
    <w:p w14:paraId="02B2D441">
      <w:pPr>
        <w:rPr>
          <w:rFonts w:hint="default"/>
          <w:lang w:eastAsia="zh-CN"/>
        </w:rPr>
      </w:pPr>
    </w:p>
    <w:p w14:paraId="6572575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链接北京银行主页</w:t>
      </w:r>
    </w:p>
    <w:p w14:paraId="1B6CAF4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总行地址：北京市西城区金融大街丙17号</w:t>
      </w:r>
    </w:p>
    <w:p w14:paraId="2A86DA1A">
      <w:pPr>
        <w:rPr>
          <w:rFonts w:hint="default"/>
          <w:lang w:eastAsia="zh-CN"/>
        </w:rPr>
      </w:pPr>
    </w:p>
    <w:p w14:paraId="38E1A31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邮政编码：100033</w:t>
      </w:r>
    </w:p>
    <w:p w14:paraId="7D9F3095">
      <w:pPr>
        <w:rPr>
          <w:rFonts w:hint="default"/>
          <w:lang w:eastAsia="zh-CN"/>
        </w:rPr>
      </w:pPr>
    </w:p>
    <w:p w14:paraId="06F7C519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A901366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2026-02-19T12:11:40Z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D16BAC8B69784710A60B409B1B72E28F_12</vt:lpwstr>
  </property>
</Properties>
</file>