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BB8E7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中国农业银行</w:t>
      </w:r>
      <w:bookmarkStart w:id="0" w:name="_GoBack"/>
      <w:bookmarkEnd w:id="0"/>
      <w:r>
        <w:rPr>
          <w:rFonts w:hint="default"/>
          <w:lang w:eastAsia="zh-CN"/>
        </w:rPr>
        <w:t>的前身最早可追溯至1951年成立的农业合作银行。自1979年2月恢复成立以来，本行相继经历了国家专业银行、国有独资商业银行和国有控股商业银行等不同发展阶段。2009年1月，本行整体改制为股份有限公司。2010年7月，本行分别在上海证券交易所和香港联合交易所挂牌上市。</w:t>
      </w:r>
    </w:p>
    <w:p w14:paraId="587980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本行是中国主要的综合性金融服务提供商之一，以高质量发展为主题，突出“服务乡村振兴的领军银行”和“服务实体经济的主力银行”两大定位，全面实施“三农”普惠、绿色金融、数字经营三大战略。本行凭借全面的业务组合、庞大的分销网络和领先的技术平台，向广大客户提供各种公司银行和零售银行产品和服务，同时开展金融市场业务及资产管理业务，业务范围还涵盖投资银行、基金管理、金融租赁、人寿保险等领域。截至2024年末，本行总资产432,381.35亿元（人民币，下同），发放贷款和垫款总额249,061.87亿元，吸收存款303,053.57亿元，资本充足率18.19%，全年实现净利润2,826.71亿元。</w:t>
      </w:r>
    </w:p>
    <w:p w14:paraId="08FFFE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截至2024年末，本行境内分支机构共计22,877个，包括总行本部、总行营业部、4个总行专营机构、4个研修院、37个一级分行、410个二级分行、3,314个一级支行、19,064个基层营业机构以及42个其他机构。境外分支机构包括13家境外分行和4家境外代表处。本行控股子公司主要包括综合化经营子公司、村镇银行、境外子行等。</w:t>
      </w:r>
    </w:p>
    <w:p w14:paraId="16DA01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2014年起，金融稳定理事会连续十一年将本行纳入全球系统重要性银行名单。2024年，以一级资本计，本行位列全球银行第3位。截至本年度报告发布之日，本行标准普尔长/短期发行人信用评级为A/A-1，穆迪长/短期银行存款评级为A1/P-1，惠誉长/短期发行人违约评级为A/F1+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3C694D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91F207B4A464491BAD63DF9F40DCF9B5_12</vt:lpwstr>
  </property>
</Properties>
</file>