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6A863">
      <w:pPr>
        <w:rPr>
          <w:rStyle w:val="14"/>
          <w:rFonts w:hint="default"/>
          <w:color w:val="0000FF"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</w:t>
      </w:r>
      <w:r>
        <w:rPr>
          <w:rStyle w:val="14"/>
          <w:rFonts w:hint="default"/>
          <w:color w:val="0000FF"/>
          <w:lang w:val="en-US" w:eastAsia="zh-CN"/>
        </w:rPr>
        <w:fldChar w:fldCharType="begin"/>
      </w:r>
      <w:r>
        <w:rPr>
          <w:rStyle w:val="14"/>
          <w:rFonts w:hint="default"/>
          <w:color w:val="0000FF"/>
          <w:lang w:val="en-US" w:eastAsia="zh-CN"/>
        </w:rPr>
        <w:instrText xml:space="preserve"> HYPERLINK "https://www.bjrcb.com/pc/cn/puhuijinrong/sngryw/blsg/20190820/14647.shtml" </w:instrText>
      </w:r>
      <w:r>
        <w:rPr>
          <w:rStyle w:val="14"/>
          <w:rFonts w:hint="default"/>
          <w:color w:val="0000FF"/>
          <w:lang w:val="en-US" w:eastAsia="zh-CN"/>
        </w:rPr>
        <w:fldChar w:fldCharType="separate"/>
      </w:r>
      <w:r>
        <w:rPr>
          <w:rStyle w:val="14"/>
          <w:rFonts w:hint="default"/>
          <w:color w:val="0000FF"/>
          <w:lang w:val="en-US" w:eastAsia="zh-CN"/>
        </w:rPr>
        <w:t>https://www.bjrcb.com/pc/cn/puhuijinrong/sngryw/blsg/20190820/14647.shtml</w:t>
      </w:r>
      <w:r>
        <w:rPr>
          <w:rStyle w:val="14"/>
          <w:rFonts w:hint="default"/>
          <w:color w:val="0000FF"/>
          <w:lang w:val="en-US" w:eastAsia="zh-CN"/>
        </w:rPr>
        <w:fldChar w:fldCharType="end"/>
      </w:r>
    </w:p>
    <w:p w14:paraId="2C179135">
      <w:pPr>
        <w:rPr>
          <w:rFonts w:hint="default" w:ascii="宋体" w:hAnsi="宋体" w:eastAsia="宋体" w:cs="宋体"/>
          <w:sz w:val="24"/>
          <w:szCs w:val="24"/>
          <w:lang w:eastAsia="zh-CN"/>
        </w:rPr>
      </w:pPr>
    </w:p>
    <w:p w14:paraId="2E04E00F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# </w:t>
      </w:r>
      <w:r>
        <w:rPr>
          <w:rFonts w:hint="default"/>
          <w:b/>
          <w:bCs/>
          <w:lang w:val="en-US" w:eastAsia="zh-CN"/>
        </w:rPr>
        <w:t>板栗收购贷款</w:t>
      </w:r>
    </w:p>
    <w:p w14:paraId="0CD3EE1B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val="en-US" w:eastAsia="zh-CN"/>
        </w:rPr>
        <w:t>产品简介：</w:t>
      </w:r>
    </w:p>
    <w:p w14:paraId="26A1CB6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板栗收购贷款是我行为推动</w:t>
      </w:r>
      <w:bookmarkStart w:id="0" w:name="_GoBack"/>
      <w:bookmarkEnd w:id="0"/>
      <w:r>
        <w:rPr>
          <w:rFonts w:hint="default"/>
          <w:b w:val="0"/>
          <w:bCs w:val="0"/>
          <w:lang w:val="en-US" w:eastAsia="zh-CN"/>
        </w:rPr>
        <w:t>京郊板栗产业发展，向板栗收购大户发放的，用于满足板栗收购所需流动资金的个人经营贷款。</w:t>
      </w:r>
    </w:p>
    <w:p w14:paraId="10571991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val="en-US" w:eastAsia="zh-CN"/>
        </w:rPr>
        <w:t>适用客户：</w:t>
      </w:r>
    </w:p>
    <w:p w14:paraId="7918342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经营稳定、信誉良好且得到当地区县或乡镇政府支持推荐的板栗收购大户。</w:t>
      </w:r>
    </w:p>
    <w:p w14:paraId="00378C74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val="en-US" w:eastAsia="zh-CN"/>
        </w:rPr>
        <w:t>产品特点：</w:t>
      </w:r>
    </w:p>
    <w:p w14:paraId="092EBBF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1.贷款模式灵活，采用额度授信模式，额度最长期限3年，可循环使用，随借随还。</w:t>
      </w:r>
    </w:p>
    <w:p w14:paraId="535DE14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2.担保方式灵活，可采用抵押、质押、保证或组合担保等多种方式。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1052065"/>
    <w:rsid w:val="183C240D"/>
    <w:rsid w:val="1AA24D9F"/>
    <w:rsid w:val="28DA2E89"/>
    <w:rsid w:val="292E4C0A"/>
    <w:rsid w:val="2A4254F9"/>
    <w:rsid w:val="2D1F32F4"/>
    <w:rsid w:val="323B4D81"/>
    <w:rsid w:val="34B70380"/>
    <w:rsid w:val="3AE174A3"/>
    <w:rsid w:val="43446334"/>
    <w:rsid w:val="44A84E71"/>
    <w:rsid w:val="477DCE1E"/>
    <w:rsid w:val="56860BB1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183</Words>
  <Characters>260</Characters>
  <Lines>0</Lines>
  <Paragraphs>0</Paragraphs>
  <TotalTime>2</TotalTime>
  <ScaleCrop>false</ScaleCrop>
  <LinksUpToDate>false</LinksUpToDate>
  <CharactersWithSpaces>264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2026-02-19T10:54:03Z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CE02F574A20B44D3A0A07820FD8EFAEB_12</vt:lpwstr>
  </property>
</Properties>
</file>