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598EE">
      <w:pPr>
        <w:rPr>
          <w:rFonts w:hint="default"/>
          <w:b/>
          <w:bCs/>
          <w:sz w:val="24"/>
          <w:szCs w:val="32"/>
          <w:highlight w:val="yellow"/>
          <w:lang w:eastAsia="zh-CN"/>
        </w:rPr>
      </w:pPr>
      <w:r>
        <w:rPr>
          <w:rStyle w:val="14"/>
          <w:rFonts w:hint="eastAsia"/>
          <w:color w:val="0000FF"/>
          <w:lang w:val="en-US" w:eastAsia="zh-CN"/>
        </w:rPr>
        <w:t>链接：</w:t>
      </w:r>
      <w:r>
        <w:rPr>
          <w:rStyle w:val="14"/>
          <w:rFonts w:hint="eastAsia"/>
          <w:color w:val="0000FF"/>
          <w:lang w:val="en-US" w:eastAsia="zh-CN"/>
        </w:rPr>
        <w:fldChar w:fldCharType="begin"/>
      </w:r>
      <w:r>
        <w:rPr>
          <w:rStyle w:val="14"/>
          <w:rFonts w:hint="eastAsia"/>
          <w:color w:val="0000FF"/>
          <w:lang w:val="en-US" w:eastAsia="zh-CN"/>
        </w:rPr>
        <w:instrText xml:space="preserve"> HYPERLINK "https://www.abchina.com/cn/RuralSvc/Individuals/fnd/" </w:instrText>
      </w:r>
      <w:r>
        <w:rPr>
          <w:rStyle w:val="14"/>
          <w:rFonts w:hint="eastAsia"/>
          <w:color w:val="0000FF"/>
          <w:lang w:val="en-US" w:eastAsia="zh-CN"/>
        </w:rPr>
        <w:fldChar w:fldCharType="separate"/>
      </w:r>
      <w:r>
        <w:rPr>
          <w:rStyle w:val="14"/>
          <w:rFonts w:hint="eastAsia"/>
          <w:color w:val="0000FF"/>
          <w:lang w:val="en-US" w:eastAsia="zh-CN"/>
        </w:rPr>
        <w:t>富民贷_中国农业银行</w:t>
      </w:r>
      <w:r>
        <w:rPr>
          <w:rStyle w:val="14"/>
          <w:rFonts w:hint="eastAsia"/>
          <w:color w:val="0000FF"/>
          <w:lang w:val="en-US" w:eastAsia="zh-CN"/>
        </w:rPr>
        <w:fldChar w:fldCharType="end"/>
      </w:r>
    </w:p>
    <w:p w14:paraId="64431AD3">
      <w:pPr>
        <w:rPr>
          <w:rFonts w:hint="default"/>
          <w:b/>
          <w:bCs/>
          <w:lang w:eastAsia="zh-CN"/>
        </w:rPr>
      </w:pPr>
    </w:p>
    <w:p w14:paraId="7D6E9A93">
      <w:pPr>
        <w:rPr>
          <w:rFonts w:hint="default"/>
          <w:b/>
          <w:bCs/>
          <w:lang w:eastAsia="zh-CN"/>
        </w:rPr>
      </w:pPr>
      <w:r>
        <w:rPr>
          <w:rFonts w:hint="eastAsia"/>
          <w:b/>
          <w:bCs/>
          <w:lang w:val="en-US" w:eastAsia="zh-CN"/>
        </w:rPr>
        <w:t xml:space="preserve"># </w:t>
      </w:r>
      <w:r>
        <w:rPr>
          <w:rFonts w:hint="default"/>
          <w:b/>
          <w:bCs/>
          <w:lang w:eastAsia="zh-CN"/>
        </w:rPr>
        <w:t>产品简介</w:t>
      </w:r>
    </w:p>
    <w:p w14:paraId="4B2BB051">
      <w:pPr>
        <w:rPr>
          <w:rFonts w:hint="default"/>
          <w:lang w:eastAsia="zh-CN"/>
        </w:rPr>
      </w:pPr>
      <w:r>
        <w:rPr>
          <w:rFonts w:hint="default"/>
          <w:lang w:eastAsia="zh-CN"/>
        </w:rPr>
        <w:t>“富民贷”是中国农业银行与国家乡村振兴局联合创设，通过银政合作设立风险补偿机制，地方乡村振兴部门县乡村三级联审推荐客户，中国农业银行向符合条件客户发放的用于生产经营用途的小额信用贷款。</w:t>
      </w:r>
    </w:p>
    <w:p w14:paraId="094E88A1">
      <w:pPr>
        <w:rPr>
          <w:rFonts w:hint="default"/>
          <w:b/>
          <w:bCs/>
          <w:lang w:eastAsia="zh-CN"/>
        </w:rPr>
      </w:pPr>
      <w:r>
        <w:rPr>
          <w:rFonts w:hint="eastAsia"/>
          <w:b/>
          <w:bCs/>
          <w:lang w:val="en-US" w:eastAsia="zh-CN"/>
        </w:rPr>
        <w:t xml:space="preserve">## </w:t>
      </w:r>
      <w:r>
        <w:rPr>
          <w:rFonts w:hint="default"/>
          <w:b/>
          <w:bCs/>
          <w:lang w:eastAsia="zh-CN"/>
        </w:rPr>
        <w:t>贷款要素</w:t>
      </w:r>
    </w:p>
    <w:p w14:paraId="3EB7C456">
      <w:pPr>
        <w:rPr>
          <w:rFonts w:hint="default"/>
          <w:lang w:eastAsia="zh-CN"/>
        </w:rPr>
      </w:pPr>
      <w:r>
        <w:rPr>
          <w:rFonts w:hint="default"/>
          <w:lang w:eastAsia="zh-CN"/>
        </w:rPr>
        <w:t>贷款额度：3000元起步，最高不超过20万元。</w:t>
      </w:r>
    </w:p>
    <w:p w14:paraId="159C8A01">
      <w:pPr>
        <w:rPr>
          <w:rFonts w:hint="default"/>
          <w:lang w:eastAsia="zh-CN"/>
        </w:rPr>
      </w:pPr>
      <w:r>
        <w:rPr>
          <w:rFonts w:hint="default"/>
          <w:lang w:eastAsia="zh-CN"/>
        </w:rPr>
        <w:t>贷款期限：根据您的生产经营周期及收入等情况综合确定，最长不超过5年。</w:t>
      </w:r>
    </w:p>
    <w:p w14:paraId="5CEE4602">
      <w:pPr>
        <w:rPr>
          <w:rFonts w:hint="default"/>
          <w:lang w:eastAsia="zh-CN"/>
        </w:rPr>
      </w:pPr>
      <w:r>
        <w:rPr>
          <w:rFonts w:hint="default"/>
          <w:lang w:eastAsia="zh-CN"/>
        </w:rPr>
        <w:t>贷款利率：执行1年期贷款市场报价利率（LPR）。</w:t>
      </w:r>
    </w:p>
    <w:p w14:paraId="44F92AB4">
      <w:pPr>
        <w:rPr>
          <w:rFonts w:hint="default"/>
          <w:lang w:eastAsia="zh-CN"/>
        </w:rPr>
      </w:pPr>
      <w:r>
        <w:rPr>
          <w:rFonts w:hint="default"/>
          <w:lang w:eastAsia="zh-CN"/>
        </w:rPr>
        <w:t>担保方式：采用信用方式发放贷款。</w:t>
      </w:r>
    </w:p>
    <w:p w14:paraId="67D84B32">
      <w:pPr>
        <w:rPr>
          <w:rFonts w:hint="default"/>
          <w:lang w:eastAsia="zh-CN"/>
        </w:rPr>
      </w:pPr>
      <w:r>
        <w:rPr>
          <w:rFonts w:hint="default"/>
          <w:lang w:eastAsia="zh-CN"/>
        </w:rPr>
        <w:t>还款方式：根据贷款期限可灵活选用定期结息到期还本、一次性利随本清、分期还款等多种方式。</w:t>
      </w:r>
    </w:p>
    <w:p w14:paraId="02604C19">
      <w:pPr>
        <w:rPr>
          <w:rFonts w:hint="default"/>
          <w:lang w:eastAsia="zh-CN"/>
        </w:rPr>
      </w:pPr>
      <w:r>
        <w:rPr>
          <w:rFonts w:hint="default"/>
          <w:lang w:eastAsia="zh-CN"/>
        </w:rPr>
        <w:t>贷款用途：贷款必须做到户借、户用、户还，用于生产经营用途，不得用于生活消费、购建房、理财等非生产性支出，不得转借他人，不得以入股分红、转贷、指标交换等方式交由企业或其他组织使用。</w:t>
      </w:r>
    </w:p>
    <w:p w14:paraId="1E09A991">
      <w:pPr>
        <w:rPr>
          <w:rFonts w:hint="default"/>
          <w:b/>
          <w:bCs/>
          <w:lang w:eastAsia="zh-CN"/>
        </w:rPr>
      </w:pPr>
      <w:r>
        <w:rPr>
          <w:rFonts w:hint="eastAsia"/>
          <w:b/>
          <w:bCs/>
          <w:lang w:val="en-US" w:eastAsia="zh-CN"/>
        </w:rPr>
        <w:t xml:space="preserve">## </w:t>
      </w:r>
      <w:r>
        <w:rPr>
          <w:rFonts w:hint="default"/>
          <w:b/>
          <w:bCs/>
          <w:lang w:eastAsia="zh-CN"/>
        </w:rPr>
        <w:t>适用对象</w:t>
      </w:r>
    </w:p>
    <w:p w14:paraId="614D0030">
      <w:pPr>
        <w:rPr>
          <w:rFonts w:hint="default"/>
          <w:lang w:eastAsia="zh-CN"/>
        </w:rPr>
      </w:pPr>
      <w:bookmarkStart w:id="0" w:name="_GoBack"/>
      <w:bookmarkEnd w:id="0"/>
      <w:r>
        <w:rPr>
          <w:rFonts w:hint="default"/>
          <w:lang w:eastAsia="zh-CN"/>
        </w:rPr>
        <w:t>160个国家乡村振兴重点帮扶县内持续稳定经营的客户，以家庭为单位发放。</w:t>
      </w:r>
    </w:p>
    <w:p w14:paraId="5E3F6135">
      <w:pPr>
        <w:rPr>
          <w:rFonts w:hint="default"/>
          <w:lang w:eastAsia="zh-CN"/>
        </w:rPr>
      </w:pPr>
      <w:r>
        <w:rPr>
          <w:rFonts w:hint="eastAsia"/>
          <w:b/>
          <w:bCs/>
          <w:lang w:val="en-US" w:eastAsia="zh-CN"/>
        </w:rPr>
        <w:t>#</w:t>
      </w:r>
      <w:r>
        <w:rPr>
          <w:rFonts w:hint="eastAsia"/>
          <w:b/>
          <w:bCs/>
          <w:lang w:val="en-US" w:eastAsia="zh-CN"/>
        </w:rPr>
        <w:t xml:space="preserve"># </w:t>
      </w:r>
      <w:r>
        <w:rPr>
          <w:rFonts w:hint="default"/>
          <w:b/>
          <w:bCs/>
          <w:lang w:eastAsia="zh-CN"/>
        </w:rPr>
        <w:t>贷款条件</w:t>
      </w:r>
    </w:p>
    <w:p w14:paraId="6E4C518E">
      <w:pPr>
        <w:rPr>
          <w:rFonts w:hint="default"/>
          <w:lang w:eastAsia="zh-CN"/>
        </w:rPr>
      </w:pPr>
      <w:r>
        <w:rPr>
          <w:rFonts w:hint="default"/>
          <w:lang w:eastAsia="zh-CN"/>
        </w:rPr>
        <w:t>品行端正、信用记录良好；</w:t>
      </w:r>
    </w:p>
    <w:p w14:paraId="6A4ADB5B">
      <w:pPr>
        <w:rPr>
          <w:rFonts w:hint="default"/>
          <w:lang w:eastAsia="zh-CN"/>
        </w:rPr>
      </w:pPr>
      <w:r>
        <w:rPr>
          <w:rFonts w:hint="default"/>
          <w:lang w:eastAsia="zh-CN"/>
        </w:rPr>
        <w:t>有固定生产经营项目，有稳定收入来源；</w:t>
      </w:r>
    </w:p>
    <w:p w14:paraId="59F9C214">
      <w:pPr>
        <w:rPr>
          <w:rFonts w:hint="default"/>
          <w:lang w:eastAsia="zh-CN"/>
        </w:rPr>
      </w:pPr>
      <w:r>
        <w:rPr>
          <w:rFonts w:hint="default"/>
          <w:lang w:eastAsia="zh-CN"/>
        </w:rPr>
        <w:t>提供真实、准确、有效的家庭资产、经营、收入等信息资料。　　</w:t>
      </w:r>
    </w:p>
    <w:p w14:paraId="792BC0AE">
      <w:pPr>
        <w:rPr>
          <w:rFonts w:hint="default"/>
          <w:lang w:eastAsia="zh-CN"/>
        </w:rPr>
      </w:pPr>
      <w:r>
        <w:rPr>
          <w:rFonts w:hint="default"/>
          <w:lang w:eastAsia="zh-CN"/>
        </w:rPr>
        <w:t>注：具体开办的业务种类及办理流程、办理条件等以中国农业银行当地分行有关规定为准。</w:t>
      </w:r>
    </w:p>
    <w:p w14:paraId="0D3A1CE7">
      <w:pPr>
        <w:rPr>
          <w:rFonts w:hint="default"/>
          <w:lang w:eastAsia="zh-CN"/>
        </w:rPr>
      </w:pPr>
      <w:r>
        <w:rPr>
          <w:rFonts w:hint="default"/>
          <w:lang w:eastAsia="zh-CN"/>
        </w:rPr>
        <w:t>注：具体开办的业务种类及办理程序、办理条件等以中国农业银行当地分行有关规定为准。</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3916674"/>
    <w:rsid w:val="14654393"/>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522</Words>
  <Characters>530</Characters>
  <Lines>0</Lines>
  <Paragraphs>0</Paragraphs>
  <TotalTime>0</TotalTime>
  <ScaleCrop>false</ScaleCrop>
  <LinksUpToDate>false</LinksUpToDate>
  <CharactersWithSpaces>556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546732F1DE374D4AA36DDF5373CF564A_12</vt:lpwstr>
  </property>
</Properties>
</file>