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AFBF3">
      <w:pPr>
        <w:rPr>
          <w:rStyle w:val="14"/>
          <w:rFonts w:hint="default"/>
          <w:color w:val="0000FF"/>
          <w:lang w:val="en-US" w:eastAsia="zh-CN"/>
        </w:rPr>
      </w:pPr>
      <w:r>
        <w:rPr>
          <w:rStyle w:val="14"/>
          <w:rFonts w:hint="eastAsia"/>
          <w:color w:val="0000FF"/>
          <w:lang w:val="en-US" w:eastAsia="zh-CN"/>
        </w:rPr>
        <w:t>链接：https://www.bjrcb.com/pc/cn/puhuijinrong/sngryw/cmd/20230324/14655.shtml</w:t>
      </w:r>
    </w:p>
    <w:p w14:paraId="6729BE28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6F5BA84B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 </w:t>
      </w:r>
      <w:r>
        <w:rPr>
          <w:rFonts w:hint="default"/>
          <w:b/>
          <w:bCs/>
          <w:lang w:eastAsia="zh-CN"/>
        </w:rPr>
        <w:t>优农快贷</w:t>
      </w:r>
    </w:p>
    <w:p w14:paraId="7FC790E5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产品简介：</w:t>
      </w:r>
    </w:p>
    <w:p w14:paraId="05E0AC9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优农快贷”是结合北京市各区域特色产品设计的特色农贷产品，支持借款人支付农产品种植业、养殖业、批发零售业所需资金。目前“优农快贷”下设“草莓贷”“西瓜贷”“果品贷”“浓蜜贷”“西红柿贷”等子产品。</w:t>
      </w:r>
    </w:p>
    <w:p w14:paraId="0D71883D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适用客户：</w:t>
      </w:r>
    </w:p>
    <w:p w14:paraId="7CF9AAB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在北京地区从事农产品种植业、养殖业、批发零售业的法人或非法人组织，或自然人。</w:t>
      </w:r>
    </w:p>
    <w:p w14:paraId="3B0947F8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产品特点：</w:t>
      </w:r>
    </w:p>
    <w:p w14:paraId="139FF1D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贷款额度：贷款额度最高1000万元。</w:t>
      </w:r>
    </w:p>
    <w:p w14:paraId="14DED2F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贷款期限：最长10年。</w:t>
      </w:r>
    </w:p>
    <w:p w14:paraId="0FA2B9B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专项支持北京区域特色农产品，目前支持的农产品包括草莓、西瓜、西红柿、蜂蜜、苹果、梨、樱桃、大桃等。</w:t>
      </w:r>
    </w:p>
    <w:p w14:paraId="32F11A5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标准模式产品，专属绿色审批通道，审批效率快。</w:t>
      </w:r>
    </w:p>
    <w:p w14:paraId="29EE6D9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针对担保方式多样，支持保证、抵押、质押。</w:t>
      </w:r>
    </w:p>
    <w:p w14:paraId="33A811F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结合不同农产品生产经营特点，不同子产品的准入条件、贷款额度、期限、担保方式、还款方式、调查或审查等内容存在一定差异。</w:t>
      </w:r>
    </w:p>
    <w:p w14:paraId="76FD4309">
      <w:pPr>
        <w:rPr>
          <w:rFonts w:hint="default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9A3629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2026-02-19T11:25:57Z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47A156324B5440299177132C7775FCEA_12</vt:lpwstr>
  </property>
</Properties>
</file>