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B934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11种</w:t>
      </w:r>
      <w:bookmarkStart w:id="0" w:name="_GoBack"/>
      <w:bookmarkEnd w:id="0"/>
    </w:p>
    <w:p w14:paraId="5A5A008F">
      <w:pPr>
        <w:rPr>
          <w:rFonts w:ascii="宋体" w:hAnsi="宋体" w:eastAsia="宋体" w:cs="宋体"/>
          <w:sz w:val="24"/>
          <w:szCs w:val="24"/>
        </w:rPr>
      </w:pPr>
    </w:p>
    <w:p w14:paraId="3452CF05">
      <w:pPr>
        <w:rPr>
          <w:rFonts w:ascii="宋体" w:hAnsi="宋体" w:eastAsia="宋体" w:cs="宋体"/>
          <w:sz w:val="24"/>
          <w:szCs w:val="24"/>
        </w:rPr>
      </w:pPr>
    </w:p>
    <w:p w14:paraId="7F8C7019">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"https://www.fjjfypt.com/jfy/ruralarea/index" </w:instrText>
      </w:r>
      <w:r>
        <w:rPr>
          <w:rFonts w:ascii="宋体" w:hAnsi="宋体" w:eastAsia="宋体" w:cs="宋体"/>
          <w:sz w:val="24"/>
          <w:szCs w:val="24"/>
        </w:rPr>
        <w:fldChar w:fldCharType="separate"/>
      </w:r>
      <w:r>
        <w:rPr>
          <w:rStyle w:val="17"/>
          <w:rFonts w:ascii="宋体" w:hAnsi="宋体" w:eastAsia="宋体" w:cs="宋体"/>
          <w:sz w:val="24"/>
          <w:szCs w:val="24"/>
        </w:rPr>
        <w:t>福建省金融服务云平台</w:t>
      </w:r>
      <w:r>
        <w:rPr>
          <w:rFonts w:ascii="宋体" w:hAnsi="宋体" w:eastAsia="宋体" w:cs="宋体"/>
          <w:sz w:val="24"/>
          <w:szCs w:val="24"/>
        </w:rPr>
        <w:fldChar w:fldCharType="end"/>
      </w:r>
    </w:p>
    <w:p w14:paraId="498AA44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乡村振兴贷</w:t>
      </w:r>
    </w:p>
    <w:p w14:paraId="4B8674AC">
      <w:pPr>
        <w:rPr>
          <w:rFonts w:hint="eastAsia" w:ascii="宋体" w:hAnsi="宋体" w:eastAsia="宋体" w:cs="宋体"/>
          <w:sz w:val="24"/>
          <w:szCs w:val="24"/>
        </w:rPr>
      </w:pPr>
      <w:r>
        <w:rPr>
          <w:rFonts w:hint="eastAsia" w:ascii="宋体" w:hAnsi="宋体" w:eastAsia="宋体" w:cs="宋体"/>
          <w:sz w:val="24"/>
          <w:szCs w:val="24"/>
        </w:rPr>
        <w:t>兴业银行武夷山水绿金贷</w:t>
      </w:r>
    </w:p>
    <w:p w14:paraId="0DDA9923">
      <w:pPr>
        <w:rPr>
          <w:rFonts w:hint="eastAsia" w:ascii="宋体" w:hAnsi="宋体" w:eastAsia="宋体" w:cs="宋体"/>
          <w:sz w:val="24"/>
          <w:szCs w:val="24"/>
        </w:rPr>
      </w:pPr>
    </w:p>
    <w:p w14:paraId="6DF60C31">
      <w:pPr>
        <w:rPr>
          <w:rFonts w:hint="eastAsia"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"https://nynct.fujian.gov.cn/xxgk/zfxxgk/fdzdgknr/nyyw/nyzc/201805/t20180514_3382968.htm" </w:instrText>
      </w:r>
      <w:r>
        <w:rPr>
          <w:rFonts w:ascii="宋体" w:hAnsi="宋体" w:eastAsia="宋体" w:cs="宋体"/>
          <w:sz w:val="24"/>
          <w:szCs w:val="24"/>
        </w:rPr>
        <w:fldChar w:fldCharType="separate"/>
      </w:r>
      <w:r>
        <w:rPr>
          <w:rStyle w:val="17"/>
          <w:rFonts w:ascii="宋体" w:hAnsi="宋体" w:eastAsia="宋体" w:cs="宋体"/>
          <w:sz w:val="24"/>
          <w:szCs w:val="24"/>
        </w:rPr>
        <w:t>福建省农业厅 中国农业银行福建省分行关于金融支持农业绿色发展的实施意见 _ 行政规范性文件 _ 福建省农业农村厅</w:t>
      </w:r>
      <w:r>
        <w:rPr>
          <w:rFonts w:ascii="宋体" w:hAnsi="宋体" w:eastAsia="宋体" w:cs="宋体"/>
          <w:sz w:val="24"/>
          <w:szCs w:val="24"/>
        </w:rPr>
        <w:fldChar w:fldCharType="end"/>
      </w:r>
    </w:p>
    <w:p w14:paraId="75A4914E">
      <w:pPr>
        <w:rPr>
          <w:rFonts w:hint="eastAsia" w:ascii="宋体" w:hAnsi="宋体" w:eastAsia="宋体" w:cs="宋体"/>
          <w:sz w:val="24"/>
          <w:szCs w:val="24"/>
        </w:rPr>
      </w:pPr>
      <w:r>
        <w:rPr>
          <w:rFonts w:hint="eastAsia" w:ascii="宋体" w:hAnsi="宋体" w:eastAsia="宋体" w:cs="宋体"/>
          <w:sz w:val="24"/>
          <w:szCs w:val="24"/>
        </w:rPr>
        <w:t>“金穗惠农贷”</w:t>
      </w:r>
    </w:p>
    <w:p w14:paraId="2C1DFB36">
      <w:pPr>
        <w:rPr>
          <w:rFonts w:hint="eastAsia" w:ascii="宋体" w:hAnsi="宋体" w:eastAsia="宋体" w:cs="宋体"/>
          <w:sz w:val="24"/>
          <w:szCs w:val="24"/>
        </w:rPr>
      </w:pPr>
      <w:r>
        <w:rPr>
          <w:rFonts w:hint="eastAsia" w:ascii="宋体" w:hAnsi="宋体" w:eastAsia="宋体" w:cs="宋体"/>
          <w:sz w:val="24"/>
          <w:szCs w:val="24"/>
        </w:rPr>
        <w:t>“惠农卡便捷货”</w:t>
      </w:r>
    </w:p>
    <w:p w14:paraId="1B705EFB">
      <w:pPr>
        <w:rPr>
          <w:rFonts w:hint="eastAsia" w:ascii="宋体" w:hAnsi="宋体" w:eastAsia="宋体" w:cs="宋体"/>
          <w:sz w:val="24"/>
          <w:szCs w:val="24"/>
        </w:rPr>
      </w:pPr>
      <w:r>
        <w:rPr>
          <w:rFonts w:hint="eastAsia" w:ascii="宋体" w:hAnsi="宋体" w:eastAsia="宋体" w:cs="宋体"/>
          <w:sz w:val="24"/>
          <w:szCs w:val="24"/>
        </w:rPr>
        <w:t>“快农贷”采集农户有效数据信息，上线推广“惠农e贷”产品</w:t>
      </w:r>
    </w:p>
    <w:p w14:paraId="52DD7D55">
      <w:pPr>
        <w:rPr>
          <w:rFonts w:hint="eastAsia" w:ascii="宋体" w:hAnsi="宋体" w:eastAsia="宋体" w:cs="宋体"/>
          <w:sz w:val="24"/>
          <w:szCs w:val="24"/>
        </w:rPr>
      </w:pPr>
    </w:p>
    <w:p w14:paraId="31DBC0AE">
      <w:pPr>
        <w:rPr>
          <w:rFonts w:hint="eastAsia"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"https://www.agri.cn/zx/nyyw/202601/t20260113_8802201.htm" </w:instrText>
      </w:r>
      <w:r>
        <w:rPr>
          <w:rFonts w:ascii="宋体" w:hAnsi="宋体" w:eastAsia="宋体" w:cs="宋体"/>
          <w:sz w:val="24"/>
          <w:szCs w:val="24"/>
        </w:rPr>
        <w:fldChar w:fldCharType="separate"/>
      </w:r>
      <w:r>
        <w:rPr>
          <w:rStyle w:val="17"/>
          <w:rFonts w:ascii="宋体" w:hAnsi="宋体" w:eastAsia="宋体" w:cs="宋体"/>
          <w:sz w:val="24"/>
          <w:szCs w:val="24"/>
        </w:rPr>
        <w:t>中国农业农村信息网_把金融的种子埋进振兴沃土</w:t>
      </w:r>
      <w:r>
        <w:rPr>
          <w:rFonts w:ascii="宋体" w:hAnsi="宋体" w:eastAsia="宋体" w:cs="宋体"/>
          <w:sz w:val="24"/>
          <w:szCs w:val="24"/>
        </w:rPr>
        <w:fldChar w:fldCharType="end"/>
      </w:r>
      <w:r>
        <w:rPr>
          <w:rFonts w:hint="eastAsia" w:ascii="宋体" w:hAnsi="宋体" w:eastAsia="宋体" w:cs="宋体"/>
          <w:sz w:val="24"/>
          <w:szCs w:val="24"/>
        </w:rPr>
        <w:t>在贵州岑巩，</w:t>
      </w:r>
      <w:r>
        <w:rPr>
          <w:rFonts w:hint="eastAsia" w:ascii="宋体" w:hAnsi="宋体" w:eastAsia="宋体" w:cs="宋体"/>
          <w:sz w:val="24"/>
          <w:szCs w:val="24"/>
          <w:u w:val="single"/>
        </w:rPr>
        <w:t>“种业e贷”</w:t>
      </w:r>
      <w:r>
        <w:rPr>
          <w:rFonts w:hint="eastAsia" w:ascii="宋体" w:hAnsi="宋体" w:eastAsia="宋体" w:cs="宋体"/>
          <w:sz w:val="24"/>
          <w:szCs w:val="24"/>
        </w:rPr>
        <w:t>助力春种破土；在河南兰考，</w:t>
      </w:r>
      <w:r>
        <w:rPr>
          <w:rFonts w:hint="eastAsia" w:ascii="宋体" w:hAnsi="宋体" w:eastAsia="宋体" w:cs="宋体"/>
          <w:sz w:val="24"/>
          <w:szCs w:val="24"/>
          <w:u w:val="single"/>
        </w:rPr>
        <w:t>“粮农e贷”</w:t>
      </w:r>
      <w:r>
        <w:rPr>
          <w:rFonts w:hint="eastAsia" w:ascii="宋体" w:hAnsi="宋体" w:eastAsia="宋体" w:cs="宋体"/>
          <w:sz w:val="24"/>
          <w:szCs w:val="24"/>
        </w:rPr>
        <w:t>守护秋粮归仓；在陕西延安，</w:t>
      </w:r>
      <w:r>
        <w:rPr>
          <w:rFonts w:hint="eastAsia" w:ascii="宋体" w:hAnsi="宋体" w:eastAsia="宋体" w:cs="宋体"/>
          <w:sz w:val="24"/>
          <w:szCs w:val="24"/>
          <w:u w:val="single"/>
        </w:rPr>
        <w:t>“惠农e贷”</w:t>
      </w:r>
      <w:r>
        <w:rPr>
          <w:rFonts w:hint="eastAsia" w:ascii="宋体" w:hAnsi="宋体" w:eastAsia="宋体" w:cs="宋体"/>
          <w:sz w:val="24"/>
          <w:szCs w:val="24"/>
        </w:rPr>
        <w:t>让果农敢与天灾“叫板”；</w:t>
      </w:r>
    </w:p>
    <w:p w14:paraId="11723903">
      <w:pPr>
        <w:rPr>
          <w:rFonts w:hint="eastAsia" w:ascii="宋体" w:hAnsi="宋体" w:eastAsia="宋体" w:cs="宋体"/>
          <w:sz w:val="24"/>
          <w:szCs w:val="24"/>
        </w:rPr>
      </w:pPr>
    </w:p>
    <w:p w14:paraId="572C5645">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"https://fjjrb.gov.cn/" </w:instrText>
      </w:r>
      <w:r>
        <w:rPr>
          <w:rFonts w:ascii="宋体" w:hAnsi="宋体" w:eastAsia="宋体" w:cs="宋体"/>
          <w:sz w:val="24"/>
          <w:szCs w:val="24"/>
        </w:rPr>
        <w:fldChar w:fldCharType="separate"/>
      </w:r>
      <w:r>
        <w:rPr>
          <w:rStyle w:val="17"/>
          <w:rFonts w:ascii="宋体" w:hAnsi="宋体" w:eastAsia="宋体" w:cs="宋体"/>
          <w:sz w:val="24"/>
          <w:szCs w:val="24"/>
        </w:rPr>
        <w:t>中共福建省委金融委员会办公室</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w:t>
      </w:r>
    </w:p>
    <w:p w14:paraId="48F42450">
      <w:pPr>
        <w:rPr>
          <w:rFonts w:hint="eastAsia" w:ascii="宋体" w:hAnsi="宋体" w:eastAsia="宋体" w:cs="宋体"/>
          <w:sz w:val="24"/>
          <w:szCs w:val="24"/>
          <w:lang w:val="en-US" w:eastAsia="zh-CN"/>
        </w:rPr>
      </w:pPr>
    </w:p>
    <w:p w14:paraId="44892270">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"https://fjjrb.gov.cn/ztzl/jrqg/202409/t20240913_6517541.htm" </w:instrText>
      </w:r>
      <w:r>
        <w:rPr>
          <w:rFonts w:ascii="宋体" w:hAnsi="宋体" w:eastAsia="宋体" w:cs="宋体"/>
          <w:sz w:val="24"/>
          <w:szCs w:val="24"/>
        </w:rPr>
        <w:fldChar w:fldCharType="separate"/>
      </w:r>
      <w:r>
        <w:rPr>
          <w:rStyle w:val="17"/>
          <w:rFonts w:ascii="宋体" w:hAnsi="宋体" w:eastAsia="宋体" w:cs="宋体"/>
          <w:sz w:val="24"/>
          <w:szCs w:val="24"/>
        </w:rPr>
        <w:t>“金融强国——福建在行动”案例展播丨福建农信：聚焦三张“权票” 盘活农村“沉睡”资产_ 金融强国——福建在行动_ 中共福建省委金融委员会办公室</w:t>
      </w:r>
      <w:r>
        <w:rPr>
          <w:rFonts w:ascii="宋体" w:hAnsi="宋体" w:eastAsia="宋体" w:cs="宋体"/>
          <w:sz w:val="24"/>
          <w:szCs w:val="24"/>
        </w:rPr>
        <w:fldChar w:fldCharType="end"/>
      </w:r>
      <w:r>
        <w:rPr>
          <w:rFonts w:hint="eastAsia" w:ascii="宋体" w:hAnsi="宋体" w:eastAsia="宋体" w:cs="宋体"/>
          <w:sz w:val="24"/>
          <w:szCs w:val="24"/>
          <w:lang w:val="en-US" w:eastAsia="zh-CN"/>
        </w:rPr>
        <w:t>福建省农村信用社联合社，</w:t>
      </w:r>
      <w:r>
        <w:rPr>
          <w:rFonts w:hint="eastAsia" w:ascii="宋体" w:hAnsi="宋体" w:eastAsia="宋体" w:cs="宋体"/>
          <w:sz w:val="24"/>
          <w:szCs w:val="24"/>
          <w:highlight w:val="yellow"/>
          <w:lang w:val="en-US" w:eastAsia="zh-CN"/>
        </w:rPr>
        <w:t>“林票贷”“福林·永绿贷”和“福竹贷”三大绿色金融产品，</w:t>
      </w:r>
      <w:r>
        <w:rPr>
          <w:rFonts w:hint="eastAsia" w:ascii="宋体" w:hAnsi="宋体" w:eastAsia="宋体" w:cs="宋体"/>
          <w:sz w:val="24"/>
          <w:szCs w:val="24"/>
          <w:lang w:val="en-US" w:eastAsia="zh-CN"/>
        </w:rPr>
        <w:t>福建农信积极践行“绿水青山就是金山银山”理念，通过金融创新，深度挖掘本地生态资源的潜在价值，将农村“沉睡”资源转化为可持续发展的经济增长点。</w:t>
      </w:r>
    </w:p>
    <w:p w14:paraId="3D347FE9">
      <w:pPr>
        <w:rPr>
          <w:rFonts w:hint="eastAsia" w:ascii="宋体" w:hAnsi="宋体" w:eastAsia="宋体" w:cs="宋体"/>
          <w:sz w:val="24"/>
          <w:szCs w:val="24"/>
          <w:lang w:val="en-US" w:eastAsia="zh-CN"/>
        </w:rPr>
      </w:pPr>
    </w:p>
    <w:p w14:paraId="5B6F0615">
      <w:pPr>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"https://fjjrb.gov.cn/ztzl/jrqg/202410/t20241021_6551228.htm" </w:instrText>
      </w:r>
      <w:r>
        <w:rPr>
          <w:rFonts w:ascii="宋体" w:hAnsi="宋体" w:eastAsia="宋体" w:cs="宋体"/>
          <w:sz w:val="24"/>
          <w:szCs w:val="24"/>
        </w:rPr>
        <w:fldChar w:fldCharType="separate"/>
      </w:r>
      <w:r>
        <w:rPr>
          <w:rStyle w:val="17"/>
          <w:rFonts w:ascii="宋体" w:hAnsi="宋体" w:eastAsia="宋体" w:cs="宋体"/>
          <w:sz w:val="24"/>
          <w:szCs w:val="24"/>
        </w:rPr>
        <w:t>“金融强国——福建在行动”案例展播丨农行三明分行：做足“碳”文章 打响“绿”品牌_ 金融强国——福建在行动_ 中共福建省委金融委员会办公室</w:t>
      </w:r>
      <w:r>
        <w:rPr>
          <w:rFonts w:ascii="宋体" w:hAnsi="宋体" w:eastAsia="宋体" w:cs="宋体"/>
          <w:sz w:val="24"/>
          <w:szCs w:val="24"/>
        </w:rPr>
        <w:fldChar w:fldCharType="end"/>
      </w:r>
      <w:r>
        <w:rPr>
          <w:rFonts w:hint="eastAsia" w:ascii="宋体" w:hAnsi="宋体" w:eastAsia="宋体" w:cs="宋体"/>
          <w:sz w:val="24"/>
          <w:szCs w:val="24"/>
          <w:lang w:val="en-US" w:eastAsia="zh-CN"/>
        </w:rPr>
        <w:t>通过差异化的专属产品和准入机制对接层次不同的“绿盈乡村”，针对初级、中级、高级版的“绿盈乡村”分别推出“绿盈1号、2号、3号”升级叠加产品组合，不同层级的“绿盈乡村”个人信用方式贷款额度不同，分别在10万元内、20万元内、30万元内，让金融服务更精准、更高效。</w:t>
      </w:r>
    </w:p>
    <w:p w14:paraId="47DA12A7">
      <w:pPr>
        <w:rPr>
          <w:rFonts w:hint="eastAsia" w:ascii="宋体" w:hAnsi="宋体" w:eastAsia="宋体" w:cs="宋体"/>
          <w:sz w:val="24"/>
          <w:szCs w:val="24"/>
          <w:lang w:val="en-US" w:eastAsia="zh-CN"/>
        </w:rPr>
      </w:pPr>
    </w:p>
    <w:p w14:paraId="277B1DA3">
      <w:pPr>
        <w:rPr>
          <w:rFonts w:hint="default" w:ascii="宋体" w:hAnsi="宋体" w:eastAsia="宋体" w:cs="宋体"/>
          <w:b/>
          <w:bCs/>
          <w:sz w:val="24"/>
          <w:szCs w:val="24"/>
          <w:lang w:eastAsia="zh-CN"/>
        </w:rPr>
      </w:pPr>
      <w:r>
        <w:rPr>
          <w:rFonts w:hint="default" w:ascii="宋体" w:hAnsi="宋体" w:eastAsia="宋体" w:cs="宋体"/>
          <w:b/>
          <w:bCs/>
          <w:sz w:val="24"/>
          <w:szCs w:val="24"/>
          <w:lang w:eastAsia="zh-CN"/>
        </w:rPr>
        <w:t>产品简介</w:t>
      </w:r>
    </w:p>
    <w:p w14:paraId="7690A90A">
      <w:pPr>
        <w:rPr>
          <w:rFonts w:hint="default" w:ascii="宋体" w:hAnsi="宋体" w:eastAsia="宋体" w:cs="宋体"/>
          <w:sz w:val="24"/>
          <w:szCs w:val="24"/>
          <w:lang w:eastAsia="zh-CN"/>
        </w:rPr>
      </w:pPr>
      <w:r>
        <w:rPr>
          <w:rFonts w:hint="default" w:ascii="宋体" w:hAnsi="宋体" w:eastAsia="宋体" w:cs="宋体"/>
          <w:sz w:val="24"/>
          <w:szCs w:val="24"/>
          <w:highlight w:val="yellow"/>
          <w:lang w:eastAsia="zh-CN"/>
        </w:rPr>
        <w:t>乡村振兴贷</w:t>
      </w:r>
      <w:r>
        <w:rPr>
          <w:rFonts w:hint="default" w:ascii="宋体" w:hAnsi="宋体" w:eastAsia="宋体" w:cs="宋体"/>
          <w:sz w:val="24"/>
          <w:szCs w:val="24"/>
          <w:lang w:eastAsia="zh-CN"/>
        </w:rPr>
        <w:t>是在福建省金融服务云平台（以下简称“金服云平台”）“快服贷”系列产品中增列的乡村振兴定制式服务产品，是指银行等金融机构依托金服云平台，借助省级政策性优惠贷款风险分担资金池（以下简称“资金池”）提供贷款风险补偿作为增信手段，为符合条件的中小微农业企业、农民合作社、家庭农场等农业经营主体提供流动性融资服务的信贷产品。</w:t>
      </w:r>
    </w:p>
    <w:p w14:paraId="66976692">
      <w:pPr>
        <w:rPr>
          <w:rFonts w:hint="default" w:ascii="宋体" w:hAnsi="宋体" w:eastAsia="宋体" w:cs="宋体"/>
          <w:b/>
          <w:bCs/>
          <w:sz w:val="24"/>
          <w:szCs w:val="24"/>
          <w:lang w:eastAsia="zh-CN"/>
        </w:rPr>
      </w:pPr>
      <w:r>
        <w:rPr>
          <w:rFonts w:hint="default" w:ascii="宋体" w:hAnsi="宋体" w:eastAsia="宋体" w:cs="宋体"/>
          <w:b/>
          <w:bCs/>
          <w:sz w:val="24"/>
          <w:szCs w:val="24"/>
          <w:lang w:eastAsia="zh-CN"/>
        </w:rPr>
        <w:t>操作流程</w:t>
      </w:r>
    </w:p>
    <w:p w14:paraId="7ECDE4D6">
      <w:pPr>
        <w:rPr>
          <w:rFonts w:hint="default" w:ascii="宋体" w:hAnsi="宋体" w:eastAsia="宋体" w:cs="宋体"/>
          <w:sz w:val="24"/>
          <w:szCs w:val="24"/>
          <w:lang w:eastAsia="zh-CN"/>
        </w:rPr>
      </w:pPr>
      <w:r>
        <w:rPr>
          <w:rFonts w:hint="default" w:ascii="宋体" w:hAnsi="宋体" w:eastAsia="宋体" w:cs="宋体"/>
          <w:sz w:val="24"/>
          <w:szCs w:val="24"/>
          <w:lang w:eastAsia="zh-CN"/>
        </w:rPr>
        <w:t>企业申请入池</w:t>
      </w:r>
    </w:p>
    <w:p w14:paraId="525DD4EE">
      <w:pPr>
        <w:rPr>
          <w:rFonts w:hint="default" w:ascii="宋体" w:hAnsi="宋体" w:eastAsia="宋体" w:cs="宋体"/>
          <w:sz w:val="24"/>
          <w:szCs w:val="24"/>
          <w:lang w:eastAsia="zh-CN"/>
        </w:rPr>
      </w:pPr>
      <w:r>
        <w:rPr>
          <w:rFonts w:hint="default" w:ascii="宋体" w:hAnsi="宋体" w:eastAsia="宋体" w:cs="宋体"/>
          <w:sz w:val="24"/>
          <w:szCs w:val="24"/>
          <w:lang w:eastAsia="zh-CN"/>
        </w:rPr>
        <w:t>1）进入金服云平台“快服贷”专区-乡村振兴贷产品模块，在线提交申请；</w:t>
      </w:r>
    </w:p>
    <w:p w14:paraId="19633550">
      <w:pPr>
        <w:rPr>
          <w:rFonts w:hint="default" w:ascii="宋体" w:hAnsi="宋体" w:eastAsia="宋体" w:cs="宋体"/>
          <w:sz w:val="24"/>
          <w:szCs w:val="24"/>
          <w:lang w:eastAsia="zh-CN"/>
        </w:rPr>
      </w:pPr>
      <w:r>
        <w:rPr>
          <w:rFonts w:hint="default" w:ascii="宋体" w:hAnsi="宋体" w:eastAsia="宋体" w:cs="宋体"/>
          <w:sz w:val="24"/>
          <w:szCs w:val="24"/>
          <w:lang w:eastAsia="zh-CN"/>
        </w:rPr>
        <w:t>2）进入金服云平台“乡村振兴专区”-乡村振兴贷产品模块，在线提交申请；</w:t>
      </w:r>
    </w:p>
    <w:p w14:paraId="5EA994B9">
      <w:pPr>
        <w:rPr>
          <w:rFonts w:hint="default" w:ascii="宋体" w:hAnsi="宋体" w:eastAsia="宋体" w:cs="宋体"/>
          <w:sz w:val="24"/>
          <w:szCs w:val="24"/>
          <w:lang w:eastAsia="zh-CN"/>
        </w:rPr>
      </w:pPr>
      <w:r>
        <w:rPr>
          <w:rFonts w:hint="default" w:ascii="宋体" w:hAnsi="宋体" w:eastAsia="宋体" w:cs="宋体"/>
          <w:sz w:val="24"/>
          <w:szCs w:val="24"/>
          <w:lang w:eastAsia="zh-CN"/>
        </w:rPr>
        <w:t>农业经营主体公示</w:t>
      </w:r>
    </w:p>
    <w:p w14:paraId="7B2DA268">
      <w:pPr>
        <w:rPr>
          <w:rFonts w:hint="default" w:ascii="宋体" w:hAnsi="宋体" w:eastAsia="宋体" w:cs="宋体"/>
          <w:sz w:val="24"/>
          <w:szCs w:val="24"/>
          <w:lang w:eastAsia="zh-CN"/>
        </w:rPr>
      </w:pPr>
      <w:r>
        <w:rPr>
          <w:rFonts w:hint="default" w:ascii="宋体" w:hAnsi="宋体" w:eastAsia="宋体" w:cs="宋体"/>
          <w:sz w:val="24"/>
          <w:szCs w:val="24"/>
          <w:lang w:eastAsia="zh-CN"/>
        </w:rPr>
        <w:t>针对符合乡村振兴贷条件的主体建立服务企业池，符合条件的服务对象经金服云平台或其他媒体网络上向社会公示，无异议即进入乡村振兴贷企业池名单。</w:t>
      </w:r>
    </w:p>
    <w:p w14:paraId="3552EDB4">
      <w:pPr>
        <w:rPr>
          <w:rFonts w:hint="default" w:ascii="宋体" w:hAnsi="宋体" w:eastAsia="宋体" w:cs="宋体"/>
          <w:sz w:val="24"/>
          <w:szCs w:val="24"/>
          <w:lang w:eastAsia="zh-CN"/>
        </w:rPr>
      </w:pPr>
      <w:r>
        <w:rPr>
          <w:rFonts w:hint="default" w:ascii="宋体" w:hAnsi="宋体" w:eastAsia="宋体" w:cs="宋体"/>
          <w:sz w:val="24"/>
          <w:szCs w:val="24"/>
          <w:lang w:eastAsia="zh-CN"/>
        </w:rPr>
        <w:t>银行对接融资需求</w:t>
      </w:r>
    </w:p>
    <w:p w14:paraId="276ECA82">
      <w:pPr>
        <w:rPr>
          <w:rFonts w:hint="default" w:ascii="宋体" w:hAnsi="宋体" w:eastAsia="宋体" w:cs="宋体"/>
          <w:sz w:val="24"/>
          <w:szCs w:val="24"/>
          <w:lang w:eastAsia="zh-CN"/>
        </w:rPr>
      </w:pPr>
      <w:r>
        <w:rPr>
          <w:rFonts w:hint="default" w:ascii="宋体" w:hAnsi="宋体" w:eastAsia="宋体" w:cs="宋体"/>
          <w:sz w:val="24"/>
          <w:szCs w:val="24"/>
          <w:lang w:eastAsia="zh-CN"/>
        </w:rPr>
        <w:t>企业通过审核进入乡村振兴贷企业名单后，银行可以通过金服云平台在线对接企业发布的融资需求。</w:t>
      </w:r>
    </w:p>
    <w:p w14:paraId="35EFE3E3">
      <w:pPr>
        <w:rPr>
          <w:rFonts w:hint="default" w:ascii="宋体" w:hAnsi="宋体" w:eastAsia="宋体" w:cs="宋体"/>
          <w:b/>
          <w:bCs/>
          <w:sz w:val="24"/>
          <w:szCs w:val="24"/>
          <w:lang w:eastAsia="zh-CN"/>
        </w:rPr>
      </w:pPr>
      <w:r>
        <w:rPr>
          <w:rFonts w:hint="default" w:ascii="宋体" w:hAnsi="宋体" w:eastAsia="宋体" w:cs="宋体"/>
          <w:b/>
          <w:bCs/>
          <w:sz w:val="24"/>
          <w:szCs w:val="24"/>
          <w:lang w:eastAsia="zh-CN"/>
        </w:rPr>
        <w:t>申请条件</w:t>
      </w:r>
    </w:p>
    <w:p w14:paraId="6B7216F2">
      <w:pPr>
        <w:rPr>
          <w:rFonts w:hint="default" w:ascii="宋体" w:hAnsi="宋体" w:eastAsia="宋体" w:cs="宋体"/>
          <w:sz w:val="24"/>
          <w:szCs w:val="24"/>
          <w:lang w:eastAsia="zh-CN"/>
        </w:rPr>
      </w:pPr>
      <w:r>
        <w:rPr>
          <w:rFonts w:hint="default" w:ascii="宋体" w:hAnsi="宋体" w:eastAsia="宋体" w:cs="宋体"/>
          <w:sz w:val="24"/>
          <w:szCs w:val="24"/>
          <w:lang w:eastAsia="zh-CN"/>
        </w:rPr>
        <w:t>1.乡村贷服务对象为在福建省内（不含单列市）登记注册、守法经营、在国家及省企业信用信息公示系统中无不良记录的农业企业、农民合作社、家庭农场、农业社会化服务组织以及经农业农村部门核准登记的农村集体经济组织法人。</w:t>
      </w:r>
    </w:p>
    <w:p w14:paraId="2882C114">
      <w:pPr>
        <w:rPr>
          <w:rFonts w:hint="default" w:ascii="宋体" w:hAnsi="宋体" w:eastAsia="宋体" w:cs="宋体"/>
          <w:sz w:val="24"/>
          <w:szCs w:val="24"/>
          <w:lang w:eastAsia="zh-CN"/>
        </w:rPr>
      </w:pPr>
      <w:r>
        <w:rPr>
          <w:rFonts w:hint="default" w:ascii="宋体" w:hAnsi="宋体" w:eastAsia="宋体" w:cs="宋体"/>
          <w:sz w:val="24"/>
          <w:szCs w:val="24"/>
          <w:lang w:eastAsia="zh-CN"/>
        </w:rPr>
        <w:t>2.上述主体应当同时符合乡村振兴贷条件，生产经营正常。</w:t>
      </w:r>
    </w:p>
    <w:p w14:paraId="74E1950F">
      <w:pPr>
        <w:rPr>
          <w:rFonts w:hint="default" w:ascii="宋体" w:hAnsi="宋体" w:eastAsia="宋体" w:cs="宋体"/>
          <w:sz w:val="24"/>
          <w:szCs w:val="24"/>
          <w:lang w:eastAsia="zh-CN"/>
        </w:rPr>
      </w:pPr>
      <w:r>
        <w:rPr>
          <w:rFonts w:hint="default" w:ascii="宋体" w:hAnsi="宋体" w:eastAsia="宋体" w:cs="宋体"/>
          <w:sz w:val="24"/>
          <w:szCs w:val="24"/>
          <w:lang w:eastAsia="zh-CN"/>
        </w:rPr>
        <w:t>3.乡村振兴贷贷款资金必须用于企业的正常生产经营，不能用于金融投资、理财、转贷等套利活动或个人消费，以及投资国家政策禁止或限制的项目。</w:t>
      </w:r>
    </w:p>
    <w:p w14:paraId="0A8AD27E">
      <w:pPr>
        <w:rPr>
          <w:rFonts w:hint="default" w:ascii="宋体" w:hAnsi="宋体" w:eastAsia="宋体" w:cs="宋体"/>
          <w:b/>
          <w:bCs/>
          <w:sz w:val="24"/>
          <w:szCs w:val="24"/>
          <w:lang w:eastAsia="zh-CN"/>
        </w:rPr>
      </w:pPr>
      <w:r>
        <w:rPr>
          <w:rFonts w:hint="default" w:ascii="宋体" w:hAnsi="宋体" w:eastAsia="宋体" w:cs="宋体"/>
          <w:b/>
          <w:bCs/>
          <w:sz w:val="24"/>
          <w:szCs w:val="24"/>
          <w:lang w:eastAsia="zh-CN"/>
        </w:rPr>
        <w:t>贷款政策</w:t>
      </w:r>
    </w:p>
    <w:p w14:paraId="4F5EA2CA">
      <w:pPr>
        <w:rPr>
          <w:rFonts w:hint="default" w:ascii="宋体" w:hAnsi="宋体" w:eastAsia="宋体" w:cs="宋体"/>
          <w:sz w:val="24"/>
          <w:szCs w:val="24"/>
          <w:lang w:eastAsia="zh-CN"/>
        </w:rPr>
      </w:pPr>
      <w:r>
        <w:rPr>
          <w:rFonts w:hint="default" w:ascii="宋体" w:hAnsi="宋体" w:eastAsia="宋体" w:cs="宋体"/>
          <w:sz w:val="24"/>
          <w:szCs w:val="24"/>
          <w:lang w:eastAsia="zh-CN"/>
        </w:rPr>
        <w:t>乡村振兴贷单户企业的贷款规模控制在1000万元以内，实行优惠贷款利率，各政策性银行、大型银行和邮储银行按不超过最近一次公布的一年期贷款市场报价利率发放贷款的为优惠利率，其他银行业机构按不超过最近一次公布的一年期贷款市场报价利率加80个基点发放贷款的为优惠利率。贷款期限由银行与企业自主选择，原则上不超过1年。</w:t>
      </w:r>
    </w:p>
    <w:p w14:paraId="4BB3213A">
      <w:pPr>
        <w:rPr>
          <w:rFonts w:hint="default" w:ascii="宋体" w:hAnsi="宋体" w:eastAsia="宋体" w:cs="宋体"/>
          <w:sz w:val="24"/>
          <w:szCs w:val="24"/>
          <w:lang w:eastAsia="zh-CN"/>
        </w:rPr>
      </w:pPr>
    </w:p>
    <w:p w14:paraId="3508E3F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政策解读，</w:t>
      </w:r>
      <w:r>
        <w:rPr>
          <w:rFonts w:ascii="宋体" w:hAnsi="宋体" w:eastAsia="宋体" w:cs="宋体"/>
          <w:sz w:val="24"/>
          <w:szCs w:val="24"/>
        </w:rPr>
        <w:fldChar w:fldCharType="begin"/>
      </w:r>
      <w:r>
        <w:rPr>
          <w:rFonts w:ascii="宋体" w:hAnsi="宋体" w:eastAsia="宋体" w:cs="宋体"/>
          <w:sz w:val="24"/>
          <w:szCs w:val="24"/>
        </w:rPr>
        <w:instrText xml:space="preserve"> HYPERLINK "https://fjjrb.gov.cn/zcfg/zcjd/202306/t20230619_6189178.htm" </w:instrText>
      </w:r>
      <w:r>
        <w:rPr>
          <w:rFonts w:ascii="宋体" w:hAnsi="宋体" w:eastAsia="宋体" w:cs="宋体"/>
          <w:sz w:val="24"/>
          <w:szCs w:val="24"/>
        </w:rPr>
        <w:fldChar w:fldCharType="separate"/>
      </w:r>
      <w:r>
        <w:rPr>
          <w:rStyle w:val="17"/>
          <w:rFonts w:ascii="宋体" w:hAnsi="宋体" w:eastAsia="宋体" w:cs="宋体"/>
          <w:sz w:val="24"/>
          <w:szCs w:val="24"/>
        </w:rPr>
        <w:t>一图读懂《关于金融支持全面推进乡村振兴 加快建设农业强国的指导意见》_ 政策解读_ 中共福建省委金融委员会办公室</w:t>
      </w:r>
      <w:r>
        <w:rPr>
          <w:rFonts w:ascii="宋体" w:hAnsi="宋体" w:eastAsia="宋体" w:cs="宋体"/>
          <w:sz w:val="24"/>
          <w:szCs w:val="24"/>
        </w:rPr>
        <w:fldChar w:fldCharType="end"/>
      </w:r>
    </w:p>
    <w:p w14:paraId="401117E3">
      <w:pPr>
        <w:rPr>
          <w:rFonts w:hint="default" w:ascii="宋体" w:hAnsi="宋体" w:eastAsia="宋体" w:cs="宋体"/>
          <w:sz w:val="24"/>
          <w:szCs w:val="24"/>
          <w:lang w:val="en-US" w:eastAsia="zh-CN"/>
        </w:rPr>
      </w:pPr>
    </w:p>
    <w:p w14:paraId="6F154532">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"https://nynct.fujian.gov.cn/xxgk/zfxxgk/fdzdgknr/nyyw/nyzc/202411/t20241114_6566333.htm" </w:instrText>
      </w:r>
      <w:r>
        <w:rPr>
          <w:rFonts w:ascii="宋体" w:hAnsi="宋体" w:eastAsia="宋体" w:cs="宋体"/>
          <w:sz w:val="24"/>
          <w:szCs w:val="24"/>
        </w:rPr>
        <w:fldChar w:fldCharType="separate"/>
      </w:r>
      <w:r>
        <w:rPr>
          <w:rStyle w:val="17"/>
          <w:rFonts w:ascii="宋体" w:hAnsi="宋体" w:eastAsia="宋体" w:cs="宋体"/>
          <w:sz w:val="24"/>
          <w:szCs w:val="24"/>
        </w:rPr>
        <w:t>福建省农业农村厅等5单位关于印发《福建省乡村振兴贷实施办法》的通知 _ 行政规范性文件 _ 福建省农业农村厅</w:t>
      </w:r>
      <w:r>
        <w:rPr>
          <w:rFonts w:ascii="宋体" w:hAnsi="宋体" w:eastAsia="宋体" w:cs="宋体"/>
          <w:sz w:val="24"/>
          <w:szCs w:val="24"/>
        </w:rPr>
        <w:fldChar w:fldCharType="end"/>
      </w:r>
      <w:r>
        <w:rPr>
          <w:rFonts w:ascii="微软雅黑" w:hAnsi="微软雅黑" w:eastAsia="微软雅黑" w:cs="微软雅黑"/>
          <w:i w:val="0"/>
          <w:iCs w:val="0"/>
          <w:caps w:val="0"/>
          <w:color w:val="FF0000"/>
          <w:spacing w:val="0"/>
          <w:sz w:val="14"/>
          <w:szCs w:val="14"/>
          <w:shd w:val="clear" w:fill="F6F6F6"/>
        </w:rPr>
        <w:t>闽农规〔2024〕8号</w:t>
      </w:r>
    </w:p>
    <w:p w14:paraId="6209A30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通过“快服贷”产品为符合条件的中小微农业企业、农民合作社、家庭农场等农业经营主体提供流动性融资服务的信贷产品。</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YaHei">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9C07219"/>
    <w:rsid w:val="0F2B6FD9"/>
    <w:rsid w:val="183C240D"/>
    <w:rsid w:val="1AA24D9F"/>
    <w:rsid w:val="276B481F"/>
    <w:rsid w:val="28DA2E89"/>
    <w:rsid w:val="2A4254F9"/>
    <w:rsid w:val="2D1F32F4"/>
    <w:rsid w:val="323B4D81"/>
    <w:rsid w:val="34B70380"/>
    <w:rsid w:val="3AE174A3"/>
    <w:rsid w:val="43446334"/>
    <w:rsid w:val="44A84E71"/>
    <w:rsid w:val="477DCE1E"/>
    <w:rsid w:val="50B65283"/>
    <w:rsid w:val="573E1E21"/>
    <w:rsid w:val="5B487E91"/>
    <w:rsid w:val="5CF9550F"/>
    <w:rsid w:val="5EFEBDE8"/>
    <w:rsid w:val="68CA2609"/>
    <w:rsid w:val="68CC1AED"/>
    <w:rsid w:val="69BB0F42"/>
    <w:rsid w:val="6A637494"/>
    <w:rsid w:val="6BCF62E6"/>
    <w:rsid w:val="6CD3A16D"/>
    <w:rsid w:val="6D535020"/>
    <w:rsid w:val="6E5F49A6"/>
    <w:rsid w:val="6FFF37D2"/>
    <w:rsid w:val="701A2DBF"/>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5">
    <w:name w:val="Default Paragraph Font"/>
    <w:qFormat/>
    <w:uiPriority w:val="0"/>
    <w:rPr>
      <w:rFonts w:eastAsia="微软雅黑" w:asciiTheme="minorAscii" w:hAnsiTheme="minorAscii"/>
    </w:rPr>
  </w:style>
  <w:style w:type="table" w:default="1" w:styleId="13">
    <w:name w:val="Normal Table"/>
    <w:semiHidden/>
    <w:qFormat/>
    <w:uiPriority w:val="0"/>
    <w:tblPr>
      <w:tblCellMar>
        <w:top w:w="0" w:type="dxa"/>
        <w:left w:w="108" w:type="dxa"/>
        <w:bottom w:w="0" w:type="dxa"/>
        <w:right w:w="108" w:type="dxa"/>
      </w:tblCellMar>
    </w:tbl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mphasis"/>
    <w:basedOn w:val="15"/>
    <w:qFormat/>
    <w:uiPriority w:val="0"/>
    <w:rPr>
      <w:i/>
    </w:rPr>
  </w:style>
  <w:style w:type="character" w:styleId="17">
    <w:name w:val="Hyperlink"/>
    <w:basedOn w:val="1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0</Words>
  <Characters>0</Characters>
  <Lines>0</Lines>
  <Paragraphs>0</Paragraphs>
  <TotalTime>11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2026-01-16T15:15:30Z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BD14334CEF254A6199480BE1C956A715_12</vt:lpwstr>
  </property>
</Properties>
</file>