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Group Number: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 xml:space="preserve">GROUP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 xml:space="preserve">16 (Hospisoft Labs)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r>
    </w:p>
    <w:p>
      <w:pPr>
        <w:ind w:firstLine="708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none"/>
        </w:rPr>
        <w:t xml:space="preserve">Unit Project Title</w:t>
      </w:r>
      <w:r>
        <w:rPr>
          <w:rFonts w:ascii="Times New Roman" w:hAnsi="Times New Roman" w:eastAsia="Times New Roman" w:cs="Times New Roman"/>
          <w:b/>
          <w:sz w:val="24"/>
          <w:szCs w:val="24"/>
          <w:u w:val="none"/>
        </w:rPr>
        <w:t xml:space="preserve">:  </w:t>
      </w:r>
      <w:r>
        <w:rPr>
          <w:rFonts w:ascii="Times New Roman" w:hAnsi="Times New Roman" w:eastAsia="Times New Roman" w:cs="Times New Roman"/>
          <w:b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NexiCare Connect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(Streamlining Healthcare Services)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none"/>
        </w:rPr>
        <w:t xml:space="preserve">Unit Project Brief Description: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u w:val="none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Our project, "NexiCare Connect," is an Android application developed for NexiCare Haven Hospital to enhance the healthcare experience for its patients. The app encompasses a wide range of features to facilitate easy access to healthcare services and informa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tion.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Login and Registration : Users can create accounts and log in securely to access the app's features.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Lab Test : This feature provides users with detailed information about various lab test packages. Users can add desired tests to their cart and place orders for these tests.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Medicine Ordering : The app offers a comprehensive list of available medicines. Users can add medications to their cart and place orders for the required medicines.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Find Doctor : Patients can search for specialist doctors based on their medical needs and book appointments with ease.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5. Health Articles : Users can access a repository of health articles to gain valuable information about various health topics.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6. Order Details : This section allows users to view and manage their order information, ensuring transparency in their healthcare orders.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7. Logout : For security and privacy, users can log out from their accounts when they have completed their activities.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"Hospisoft Labs" is dedicated to creating a seamless and user-friendly healthcare experience for patients at NexiCare Haven Hospital through the "NexiCare Connect" app. We aim to enhance access to healthcare services, streamline the process of ordering lab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tests and medicines, and provide valuable health information through this application.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2023-10-28T03:16:16Z</dcterms:modified>
</cp:coreProperties>
</file>