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/>
      </w:pPr>
      <w:r>
        <w:rPr>
          <w:rFonts w:ascii="Calibri" w:hAnsi="Calibri" w:cs="Calibri"/>
          <w:b/>
          <w:caps/>
          <w:color w:val="0F6E5C"/>
          <w:spacing w:val="40"/>
          <w:sz w:val="19"/>
          <w:szCs w:val="19"/>
        </w:rPr>
        <w:t xml:space="preserve">Executive summary · 2026-07-26</w:t>
      </w:r>
    </w:p>
    <w:p>
      <w:pPr>
        <w:keepNext/>
        <w:keepLines/>
        <w:spacing w:before="0" w:after="60"/>
      </w:pPr>
      <w:r>
        <w:rPr>
          <w:rFonts w:ascii="Calibri Light" w:hAnsi="Calibri Light" w:cs="Calibri Light"/>
          <w:color w:val="1B3A6B"/>
          <w:sz w:val="56"/>
          <w:szCs w:val="56"/>
        </w:rPr>
        <w:t xml:space="preserve">BiTerm — Biweekly Termination Review</w:t>
      </w:r>
    </w:p>
    <w:p>
      <w:pPr>
        <w:pBdr>
          <w:bottom w:val="single" w:sz="6" w:space="4" w:color="C7CDD6"/>
        </w:pBdr>
        <w:spacing w:before="0" w:after="200"/>
      </w:pPr>
      <w:r>
        <w:rPr>
          <w:rFonts w:ascii="Calibri Light" w:hAnsi="Calibri Light" w:cs="Calibri Light"/>
          <w:color w:val="5A6270"/>
          <w:sz w:val="26"/>
          <w:szCs w:val="26"/>
        </w:rPr>
        <w:t xml:space="preserve">Detective control on Okta Identity Governance + ServiceNow.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HR + 10 APP EXPORTS → THREE-WAY JOIN (roster ↔ HR ↔ Okta) → FINDINGS → SERVICENOW REQ/RITM/SCTASK → A HUMAN REMOVES ACCESS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THE NEXT CYCLE VERIFIES THE CLAIM — gone → evidence note · still there → REOPENED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What it does that the spreadsheet process could not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5"/>
        <w:gridCol w:w="2808"/>
        <w:gridCol w:w="4867"/>
      </w:tblGrid>
      <w:tr>
        <w:trPr>
          <w:tblHeader/>
        </w:trPr>
        <w:tc>
          <w:tcPr>
            <w:tcW w:w="1685" w:type="dxa"/>
            <w:shd w:val="clear" w:color="auto" w:fill="EAEEF4"/>
            <w:vAlign w:val="center"/>
          </w:tcPr>
          <w:p>
            <w:pPr>
              <w:spacing w:before="0" w:after="0"/>
            </w:pPr>
          </w:p>
        </w:tc>
        <w:tc>
          <w:tcPr>
            <w:tcW w:w="2808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Before</w:t>
            </w:r>
          </w:p>
        </w:tc>
        <w:tc>
          <w:tcPr>
            <w:tcW w:w="4867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Coverage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12 of 19 apps</w:t>
            </w:r>
          </w:p>
        </w:tc>
        <w:tc>
          <w:tcPr>
            <w:tcW w:w="486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Any app with an export</w:t>
            </w:r>
          </w:p>
        </w:tc>
      </w:tr>
      <w:tr>
        <w:tc>
          <w:tcPr>
            <w:tcW w:w="168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Orphan accounts</w:t>
            </w:r>
          </w:p>
        </w:tc>
        <w:tc>
          <w:tcPr>
            <w:tcW w:w="280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Invisible</w:t>
            </w:r>
          </w:p>
        </w:tc>
        <w:tc>
          <w:tcPr>
            <w:tcW w:w="486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8"/>
                <w:szCs w:val="18"/>
              </w:rPr>
              <w:t xml:space="preserve">431</w:t>
            </w: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 surfaced every cycle</w:t>
            </w:r>
          </w:p>
        </w:tc>
      </w:tr>
      <w:tr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Ambiguous rows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Passed silently</w:t>
            </w:r>
          </w:p>
        </w:tc>
        <w:tc>
          <w:tcPr>
            <w:tcW w:w="486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8"/>
                <w:szCs w:val="18"/>
              </w:rPr>
              <w:t xml:space="preserve">478</w:t>
            </w: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 raised for adjudication</w:t>
            </w:r>
          </w:p>
        </w:tc>
      </w:tr>
      <w:tr>
        <w:tc>
          <w:tcPr>
            <w:tcW w:w="168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Ticketing</w:t>
            </w:r>
          </w:p>
        </w:tc>
        <w:tc>
          <w:tcPr>
            <w:tcW w:w="280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Manual, per person</w:t>
            </w:r>
          </w:p>
        </w:tc>
        <w:tc>
          <w:tcPr>
            <w:tcW w:w="486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8"/>
                <w:szCs w:val="18"/>
              </w:rPr>
              <w:t xml:space="preserve">57 chains, 0 errors</w:t>
            </w: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 last run</w:t>
            </w:r>
          </w:p>
        </w:tc>
      </w:tr>
      <w:tr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Certification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“Has the app”</w:t>
            </w:r>
          </w:p>
        </w:tc>
        <w:tc>
          <w:tcPr>
            <w:tcW w:w="486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“Holds </w:t>
            </w:r>
            <w:r>
              <w:rPr>
                <w:rFonts w:ascii="Calibri" w:hAnsi="Calibri" w:cs="Calibri"/>
                <w:b/>
                <w:color w:val="23272E"/>
                <w:sz w:val="18"/>
                <w:szCs w:val="18"/>
              </w:rPr>
              <w:t xml:space="preserve">Administrator</w:t>
            </w: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”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THE TWO THINGS TO UNDERSTAND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Nothing here removes access.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 Revoke and a closed ticket are both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claims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; the control settles them against the next export — proven by a false-closure test: 2 planted false closures caught and reopened, 11 genuine ones evidenced.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It runs as a read-only service identity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write access proven absent by a 403 in its gate.</w:t>
            </w:r>
          </w:p>
        </w:tc>
      </w:tr>
    </w:tbl>
    <w:p>
      <w:pPr>
        <w:spacing w:before="0" w:after="140"/>
      </w:pP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803"/>
        <w:gridCol w:w="3557"/>
      </w:tblGrid>
      <w:tr>
        <w:trPr>
          <w:tblHeader/>
        </w:trPr>
        <w:tc>
          <w:tcPr>
            <w:tcW w:w="5803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Where the build stands</w:t>
            </w:r>
          </w:p>
        </w:tc>
        <w:tc>
          <w:tcPr>
            <w:tcW w:w="3557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Tenant data, 10 governable SAML apps, ~2,035 users</w:t>
            </w:r>
          </w:p>
        </w:tc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COMPLETE — gated</w:t>
            </w:r>
          </w:p>
        </w:tc>
      </w:tr>
      <w:tr>
        <w:tc>
          <w:tcPr>
            <w:tcW w:w="5803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Reconciliation, ServiceNow chains, closure verification</w:t>
            </w:r>
          </w:p>
        </w:tc>
        <w:tc>
          <w:tcPr>
            <w:tcW w:w="355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COMPLETE — live</w:t>
            </w:r>
          </w:p>
        </w:tc>
      </w:tr>
      <w:tr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Role entitlements + grants, all 10 apps</w:t>
            </w:r>
          </w:p>
        </w:tc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8"/>
                <w:szCs w:val="18"/>
              </w:rPr>
              <w:t xml:space="preserve">COMPLETE — PASS, 0 failures</w:t>
            </w:r>
          </w:p>
        </w:tc>
      </w:tr>
      <w:tr>
        <w:tc>
          <w:tcPr>
            <w:tcW w:w="5803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Certification campaigns</w:t>
            </w:r>
          </w:p>
        </w:tc>
        <w:tc>
          <w:tcPr>
            <w:tcW w:w="355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One </w:t>
            </w:r>
            <w:r>
              <w:rPr>
                <w:rFonts w:ascii="Calibri" w:hAnsi="Calibri" w:cs="Calibri"/>
                <w:b/>
                <w:color w:val="23272E"/>
                <w:sz w:val="18"/>
                <w:szCs w:val="18"/>
              </w:rPr>
              <w:t xml:space="preserve">LIVE</w:t>
            </w: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, one dormant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6B15"/>
            </w:tcBorders>
            <w:shd w:val="clear" w:color="auto" w:fill="FBF2E0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6B15"/>
                <w:sz w:val="20"/>
                <w:szCs w:val="20"/>
              </w:rPr>
              <w:t xml:space="preserve">THE DEFECT THIS BUILD CAUGHT IN ITSELF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grant load was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killed mid-run on purpose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: 136 identities hold conflicting roles across duplicate accounts, and a first-row-wins loader can hide an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Administrator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behind a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Power User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exact masking this control exists to catch. Fixed by granting each person their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highest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role: 1,069 granted, 37 corrected,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VERDICT PASS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Stopping was the control working.</w:t>
            </w:r>
          </w:p>
        </w:tc>
      </w:tr>
    </w:tbl>
    <w:p>
      <w:pPr>
        <w:spacing w:before="0" w:after="0"/>
        <w:rPr>
          <w:sz w:val="2"/>
          <w:szCs w:val="2"/>
        </w:rPr>
      </w:pPr>
    </w:p>
    <w:sectPr>
      <w:footerReference w:type="default" r:id="rId3"/>
      <w:pgSz w:w="12240" w:h="15840"/>
      <w:pgMar w:top="1080" w:right="1080" w:bottom="1080" w:left="1080" w:header="600" w:footer="60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right"/>
    </w:pPr>
    <w:r>
      <w:rPr>
        <w:rFonts w:ascii="Calibri" w:hAnsi="Calibri" w:cs="Calibri"/>
        <w:color w:val="5A6270"/>
        <w:sz w:val="16"/>
        <w:szCs w:val="16"/>
      </w:rPr>
      <w:t xml:space="preserve">BiTerm — Termination Review, One Page   · 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cs="Calibri"/>
        <w:b/>
        <w:color w:val="5A6270"/>
        <w:sz w:val="16"/>
        <w:szCs w:val="16"/>
      </w:rPr>
      <w:t xml:space="preserve"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3272E"/>
        <w:sz w:val="21"/>
        <w:szCs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BiTerm — Termination Review, One Page</dc:title>
  <dc:creator>Access Management</dc:creator>
  <dc:subject>Executive summary of the biweekly termination review build</dc:subject>
</cp:coreProperties>
</file>