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/>
      </w:pPr>
      <w:r>
        <w:rPr>
          <w:rFonts w:ascii="Calibri" w:hAnsi="Calibri" w:cs="Calibri"/>
          <w:b/>
          <w:caps/>
          <w:color w:val="0F6E5C"/>
          <w:spacing w:val="40"/>
          <w:sz w:val="19"/>
          <w:szCs w:val="19"/>
        </w:rPr>
        <w:t xml:space="preserve">Okta Identity Governance · ServiceNow · SOX detective control</w:t>
      </w:r>
    </w:p>
    <w:p>
      <w:pPr>
        <w:keepNext/>
        <w:keepLines/>
        <w:spacing w:before="0" w:after="60"/>
      </w:pPr>
      <w:r>
        <w:rPr>
          <w:rFonts w:ascii="Calibri Light" w:hAnsi="Calibri Light" w:cs="Calibri Light"/>
          <w:color w:val="1B3A6B"/>
          <w:sz w:val="56"/>
          <w:szCs w:val="56"/>
        </w:rPr>
        <w:t xml:space="preserve">BiTerm — End-to-End Build Lab</w:t>
      </w:r>
    </w:p>
    <w:p>
      <w:pPr>
        <w:pBdr>
          <w:bottom w:val="single" w:sz="6" w:space="4" w:color="C7CDD6"/>
        </w:pBdr>
        <w:spacing w:before="0" w:after="200"/>
      </w:pPr>
      <w:r>
        <w:rPr>
          <w:rFonts w:ascii="Calibri Light" w:hAnsi="Calibri Light" w:cs="Calibri Light"/>
          <w:color w:val="5A6270"/>
          <w:sz w:val="26"/>
          <w:szCs w:val="26"/>
        </w:rPr>
        <w:t xml:space="preserve">Biweekly termination review, rebuilt on Okta Identity Governance and ServiceNow. Six-page edition; the full build record runs to 19 pages.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49"/>
        <w:gridCol w:w="2527"/>
        <w:gridCol w:w="4212"/>
        <w:gridCol w:w="1872"/>
      </w:tblGrid>
      <w:tr>
        <w:trPr>
          <w:tblHeader/>
        </w:trPr>
        <w:tc>
          <w:tcPr>
            <w:tcW w:w="749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Page</w:t>
            </w:r>
          </w:p>
        </w:tc>
        <w:tc>
          <w:tcPr>
            <w:tcW w:w="2527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Section</w:t>
            </w:r>
          </w:p>
        </w:tc>
        <w:tc>
          <w:tcPr>
            <w:tcW w:w="4212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What it answers</w:t>
            </w:r>
          </w:p>
        </w:tc>
        <w:tc>
          <w:tcPr>
            <w:tcW w:w="1872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w="74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2</w:t>
            </w:r>
          </w:p>
        </w:tc>
        <w:tc>
          <w:tcPr>
            <w:tcW w:w="252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system on one page</w:t>
            </w:r>
          </w:p>
        </w:tc>
        <w:tc>
          <w:tcPr>
            <w:tcW w:w="421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How the control loop actually runs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74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3</w:t>
            </w:r>
          </w:p>
        </w:tc>
        <w:tc>
          <w:tcPr>
            <w:tcW w:w="252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Foundations — data, apps, users</w:t>
            </w:r>
          </w:p>
        </w:tc>
        <w:tc>
          <w:tcPr>
            <w:tcW w:w="4212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What was created in the tenant, and why in that shape</w:t>
            </w:r>
          </w:p>
        </w:tc>
        <w:tc>
          <w:tcPr>
            <w:tcW w:w="1872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</w:tr>
      <w:tr>
        <w:tc>
          <w:tcPr>
            <w:tcW w:w="74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4</w:t>
            </w:r>
          </w:p>
        </w:tc>
        <w:tc>
          <w:tcPr>
            <w:tcW w:w="252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Detective Control service + the pipeline</w:t>
            </w:r>
          </w:p>
        </w:tc>
        <w:tc>
          <w:tcPr>
            <w:tcW w:w="421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What the control runs as, and what it does each cycle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</w:tr>
      <w:tr>
        <w:tc>
          <w:tcPr>
            <w:tcW w:w="74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5</w:t>
            </w:r>
          </w:p>
        </w:tc>
        <w:tc>
          <w:tcPr>
            <w:tcW w:w="252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Entitlements, grants, campaigns</w:t>
            </w:r>
          </w:p>
        </w:tc>
        <w:tc>
          <w:tcPr>
            <w:tcW w:w="4212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How role-level certification was built, and how the privilege-masking defect was cleared</w:t>
            </w:r>
          </w:p>
        </w:tc>
        <w:tc>
          <w:tcPr>
            <w:tcW w:w="1872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</w:tr>
      <w:tr>
        <w:tc>
          <w:tcPr>
            <w:tcW w:w="74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6</w:t>
            </w:r>
          </w:p>
        </w:tc>
        <w:tc>
          <w:tcPr>
            <w:tcW w:w="252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Closure loop + verification discipline</w:t>
            </w:r>
          </w:p>
        </w:tc>
        <w:tc>
          <w:tcPr>
            <w:tcW w:w="421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How a Revoke becomes a ticket, and how a claim becomes proof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 · DESIGNED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00" w:after="70"/>
      </w:pPr>
      <w:r>
        <w:rPr>
          <w:rFonts w:ascii="Calibri" w:hAnsi="Calibri" w:cs="Calibri"/>
          <w:b/>
          <w:caps/>
          <w:color w:val="44546A"/>
          <w:spacing w:val="20"/>
          <w:sz w:val="21"/>
          <w:szCs w:val="21"/>
        </w:rPr>
        <w:t xml:space="preserve">Reading key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0"/>
        <w:gridCol w:w="160"/>
        <w:gridCol w:w="4600"/>
      </w:tblGrid>
      <w:tr>
        <w:tc>
          <w:tcPr>
            <w:tcW w:w="460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PROVEN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verified by an independent gate ending in VERDICT: PASS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460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DESIGNED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built + tested as a reference, not executed in the tenant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00" w:after="70"/>
      </w:pPr>
      <w:r>
        <w:rPr>
          <w:rFonts w:ascii="Calibri" w:hAnsi="Calibri" w:cs="Calibri"/>
          <w:b/>
          <w:caps/>
          <w:color w:val="44546A"/>
          <w:spacing w:val="20"/>
          <w:sz w:val="21"/>
          <w:szCs w:val="21"/>
        </w:rPr>
        <w:t xml:space="preserve">The two facts that shaped every decision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4A4A"/>
            </w:tcBorders>
            <w:shd w:val="clear" w:color="auto" w:fill="F8ECEC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4A4A"/>
                <w:sz w:val="20"/>
                <w:szCs w:val="20"/>
              </w:rPr>
              <w:t xml:space="preserve">1 · THE APP TYPE DECIDES WHETHER IT CAN BE GOVERNED AT ALL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Entitlement Management cannot be switched on for Bookmark apps.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PUT /api/v1/apps/{id}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accepts the field, returns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200, and silently ignores it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Governing an app is a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rebuild as SAML, not a toggle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4A4A"/>
            </w:tcBorders>
            <w:shd w:val="clear" w:color="auto" w:fill="F8ECEC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4A4A"/>
                <w:sz w:val="20"/>
                <w:szCs w:val="20"/>
              </w:rPr>
              <w:t xml:space="preserve">2 · A REVOKE DECISION AND A CLOSED TICKET ARE BOTH CLAIMS, NOT REMOVALS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Campaign remediation is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NO_ACTION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on every outcome, by design. Nothing here removes access: the control detects, evidences and tickets, then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verifies against the next export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and reopens the ticket if the access is still there.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color w:val="5A6270"/>
          <w:sz w:val="18"/>
          <w:szCs w:val="18"/>
        </w:rPr>
        <w:t xml:space="preserve">Companion documents: </w:t>
      </w:r>
      <w:r>
        <w:rPr>
          <w:rFonts w:ascii="Consolas" w:hAnsi="Consolas" w:cs="Consolas"/>
          <w:color w:val="5A6270"/>
          <w:sz w:val="16"/>
          <w:szCs w:val="16"/>
          <w:shd w:val="clear" w:color="auto" w:fill="F4F6F9"/>
        </w:rPr>
        <w:t xml:space="preserve">OIG_TERMINATION_LAB.md</w:t>
      </w:r>
      <w:r>
        <w:rPr>
          <w:rFonts w:ascii="Calibri" w:hAnsi="Calibri" w:cs="Calibri"/>
          <w:color w:val="5A6270"/>
          <w:sz w:val="18"/>
          <w:szCs w:val="18"/>
        </w:rPr>
        <w:t xml:space="preserve"> (click-by-click, one app) · </w:t>
      </w:r>
      <w:r>
        <w:rPr>
          <w:rFonts w:ascii="Consolas" w:hAnsi="Consolas" w:cs="Consolas"/>
          <w:color w:val="5A6270"/>
          <w:sz w:val="16"/>
          <w:szCs w:val="16"/>
          <w:shd w:val="clear" w:color="auto" w:fill="F4F6F9"/>
        </w:rPr>
        <w:t xml:space="preserve">OIG_WORKFLOWS_BUILD_GUIDE.md</w:t>
      </w:r>
      <w:r>
        <w:rPr>
          <w:rFonts w:ascii="Calibri" w:hAnsi="Calibri" w:cs="Calibri"/>
          <w:color w:val="5A6270"/>
          <w:sz w:val="18"/>
          <w:szCs w:val="18"/>
        </w:rPr>
        <w:t xml:space="preserve"> (Console-only flow build) · </w:t>
      </w:r>
      <w:r>
        <w:rPr>
          <w:rFonts w:ascii="Consolas" w:hAnsi="Consolas" w:cs="Consolas"/>
          <w:color w:val="5A6270"/>
          <w:sz w:val="16"/>
          <w:szCs w:val="16"/>
          <w:shd w:val="clear" w:color="auto" w:fill="F4F6F9"/>
        </w:rPr>
        <w:t xml:space="preserve">OIG_FEASIBILITY_BRIEF.md</w:t>
      </w:r>
      <w:r>
        <w:rPr>
          <w:rFonts w:ascii="Calibri" w:hAnsi="Calibri" w:cs="Calibri"/>
          <w:color w:val="5A6270"/>
          <w:sz w:val="18"/>
          <w:szCs w:val="18"/>
        </w:rPr>
        <w:t xml:space="preserve"> (“is this real?”) · </w:t>
      </w:r>
      <w:r>
        <w:rPr>
          <w:rFonts w:ascii="Consolas" w:hAnsi="Consolas" w:cs="Consolas"/>
          <w:color w:val="5A6270"/>
          <w:sz w:val="16"/>
          <w:szCs w:val="16"/>
          <w:shd w:val="clear" w:color="auto" w:fill="F4F6F9"/>
        </w:rPr>
        <w:t xml:space="preserve">BiTerm_End_to_End_Build_Lab.docx</w:t>
      </w:r>
      <w:r>
        <w:rPr>
          <w:rFonts w:ascii="Calibri" w:hAnsi="Calibri" w:cs="Calibri"/>
          <w:color w:val="5A6270"/>
          <w:sz w:val="18"/>
          <w:szCs w:val="18"/>
        </w:rPr>
        <w:t xml:space="preserve"> (the full 19-page record).</w:t>
      </w: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The system on one page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① SOURCES OF TRUTH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TalentHub HR export · 10 per-app user exports (dated drop) · exception list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② DETECTIVE CONTROL SERVICE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Read-only OAuth service app → biweekly_recon.py · three-way join: app roster ↔ HR ↔ Okta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③ FINDINGS + EVIDENCE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report.xlsx · immutable state.json with the source rows · three digests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④ SERVICENOW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One REQ → RITM → SCTASK chain per person, evidence in the request variables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⑤ A HUMAN REMOVES ACCESS AND CLOSES THE TASK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The only step that removes anything. Nothing in this system does it automatically.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⑥ THE NEXT CYCLE VERIFIES THE CLAIM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Gone → BEFORE/AFTER evidence note.   Still there → “REMOVAL NOT VERIFIED”, task REOPENED.</w:t>
            </w:r>
          </w:p>
        </w:tc>
      </w:tr>
    </w:tbl>
    <w:p>
      <w:pPr>
        <w:spacing w:before="0" w:after="140"/>
      </w:pPr>
    </w:p>
    <w:p>
      <w:pPr>
        <w:spacing w:before="0" w:after="100"/>
      </w:pPr>
      <w:r>
        <w:rPr>
          <w:rFonts w:ascii="Calibri" w:hAnsi="Calibri" w:cs="Calibri"/>
          <w:i/>
          <w:color w:val="5A6270"/>
          <w:sz w:val="18"/>
          <w:szCs w:val="18"/>
        </w:rPr>
        <w:t xml:space="preserve">The arrow that matters is ⑥ back onto ④. Everything above it is detection; that step is what makes the control trustworthy.</w:t>
      </w: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Running alongside it — the governance lane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6"/>
        <w:gridCol w:w="320"/>
        <w:gridCol w:w="1616"/>
        <w:gridCol w:w="320"/>
        <w:gridCol w:w="1616"/>
        <w:gridCol w:w="320"/>
        <w:gridCol w:w="1616"/>
        <w:gridCol w:w="320"/>
        <w:gridCol w:w="1616"/>
      </w:tblGrid>
      <w:tr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SAML app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EM enabled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Entitlement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“Role”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Grant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person → value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Campaign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reviewer certifies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Decision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Revoke → ticket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b/>
          <w:color w:val="23272E"/>
          <w:sz w:val="21"/>
          <w:szCs w:val="21"/>
        </w:rPr>
        <w:t xml:space="preserve">Two controls, neither replacing the other.</w:t>
      </w:r>
      <w:r>
        <w:rPr>
          <w:rFonts w:ascii="Calibri" w:hAnsi="Calibri" w:cs="Calibri"/>
          <w:color w:val="23272E"/>
          <w:sz w:val="21"/>
          <w:szCs w:val="21"/>
        </w:rPr>
        <w:t xml:space="preserve"> The biweekly review is a </w:t>
      </w:r>
      <w:r>
        <w:rPr>
          <w:rFonts w:ascii="Calibri" w:hAnsi="Calibri" w:cs="Calibri"/>
          <w:i/>
          <w:color w:val="23272E"/>
          <w:sz w:val="21"/>
          <w:szCs w:val="21"/>
        </w:rPr>
        <w:t xml:space="preserve">detective</w:t>
      </w:r>
      <w:r>
        <w:rPr>
          <w:rFonts w:ascii="Calibri" w:hAnsi="Calibri" w:cs="Calibri"/>
          <w:color w:val="23272E"/>
          <w:sz w:val="21"/>
          <w:szCs w:val="21"/>
        </w:rPr>
        <w:t xml:space="preserve"> control against HR truth and runs every two weeks; campaigns are </w:t>
      </w:r>
      <w:r>
        <w:rPr>
          <w:rFonts w:ascii="Calibri" w:hAnsi="Calibri" w:cs="Calibri"/>
          <w:i/>
          <w:color w:val="23272E"/>
          <w:sz w:val="21"/>
          <w:szCs w:val="21"/>
        </w:rPr>
        <w:t xml:space="preserve">human attestation</w:t>
      </w:r>
      <w:r>
        <w:rPr>
          <w:rFonts w:ascii="Calibri" w:hAnsi="Calibri" w:cs="Calibri"/>
          <w:color w:val="23272E"/>
          <w:sz w:val="21"/>
          <w:szCs w:val="21"/>
        </w:rPr>
        <w:t xml:space="preserve"> and stay quarterly. Running a 19-app attestation fortnightly would be toil, and it asks a person the wrong question.</w:t>
      </w: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Foundations — data, apps, users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PROVEN.</w:t>
      </w: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The data, and making it safe to use</w:t>
      </w:r>
    </w:p>
    <w:p>
      <w:pPr>
        <w:spacing w:before="0" w:after="120" w:line="264" w:lineRule="auto"/>
      </w:pPr>
      <w:r>
        <w:rPr>
          <w:rFonts w:ascii="Calibri" w:hAnsi="Calibri" w:cs="Calibri"/>
          <w:color w:val="23272E"/>
          <w:sz w:val="21"/>
          <w:szCs w:val="21"/>
        </w:rPr>
        <w:t xml:space="preserve">Every person in scope was re-identified against a synthetic name pool (5,157 anchors, deterministic seed), with naming schemes, case, padding and the source data's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defects</w:t>
      </w:r>
      <w:r>
        <w:rPr>
          <w:rFonts w:ascii="Calibri" w:hAnsi="Calibri" w:cs="Calibri"/>
          <w:color w:val="23272E"/>
          <w:sz w:val="21"/>
          <w:szCs w:val="21"/>
        </w:rPr>
        <w:t xml:space="preserve"> preserved — the defects are what the pipeline has to survive. Rotating the first-name column was rejected: a permutation of real values is still real values, since surnames never move and login stems survive verbatim.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gate enforces the guarantee that matters —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zero original first-plus-last pairings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among seeded users, the pairing being the re-identifiable unit. Live: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0 pairings → PASS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Lone token coincidences over a 7,779-person source are a note, not a failure. A gate that always fails is a liability nobody reads.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Driven by a real incident: two family names from the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source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file were found live in Okta, deleted within minutes, confirmed 404.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The apps — one roster tab, two Okta apps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0"/>
        <w:gridCol w:w="160"/>
        <w:gridCol w:w="4600"/>
      </w:tblGrid>
      <w:tr>
        <w:tc>
          <w:tcPr>
            <w:tcW w:w="460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BOOKMARK — “BiTerm · &lt;tab&gt;”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read by okta_state() for orphan detection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cannot ever hold entitlements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460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SAML — “BiTerm OIG · &lt;tab&gt;”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Entitlement Management ENABLED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holds the Role entitlement + grants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color w:val="23272E"/>
          <w:sz w:val="21"/>
          <w:szCs w:val="21"/>
        </w:rPr>
        <w:t xml:space="preserve">The prefixes are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deliberately disjoint</w:t>
      </w:r>
      <w:r>
        <w:rPr>
          <w:rFonts w:ascii="Calibri" w:hAnsi="Calibri" w:cs="Calibri"/>
          <w:color w:val="23272E"/>
          <w:sz w:val="21"/>
          <w:szCs w:val="21"/>
        </w:rPr>
        <w:t xml:space="preserve">, so governing an app cannot silently change what the detective control sees. 10 governable SAML apps exist, all re-queried live as ACTIVE; the rollout script is idempotent and deliberately does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not</w:t>
      </w:r>
      <w:r>
        <w:rPr>
          <w:rFonts w:ascii="Calibri" w:hAnsi="Calibri" w:cs="Calibri"/>
          <w:color w:val="23272E"/>
          <w:sz w:val="21"/>
          <w:szCs w:val="21"/>
        </w:rPr>
        <w:t xml:space="preserve"> enable Entitlement Management — that stays a human action in the Console, per app.</w:t>
      </w: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The users — a deliberate test surface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82"/>
        <w:gridCol w:w="1498"/>
        <w:gridCol w:w="4680"/>
      </w:tblGrid>
      <w:tr>
        <w:trPr>
          <w:tblHeader/>
        </w:trPr>
        <w:tc>
          <w:tcPr>
            <w:tcW w:w="3182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Planted condition</w:t>
            </w:r>
          </w:p>
        </w:tc>
        <w:tc>
          <w:tcPr>
            <w:tcW w:w="1498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Count</w:t>
            </w:r>
          </w:p>
        </w:tc>
        <w:tc>
          <w:tcPr>
            <w:tcW w:w="4680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What it exercises</w:t>
            </w:r>
          </w:p>
        </w:tc>
      </w:tr>
      <w:tr>
        <w:tc>
          <w:tcPr>
            <w:tcW w:w="318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Roster rows with no UPN</w:t>
            </w:r>
          </w:p>
        </w:tc>
        <w:tc>
          <w:tcPr>
            <w:tcW w:w="149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409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App-side </w:t>
            </w: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orphans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no Okta account to join to</w:t>
            </w:r>
          </w:p>
        </w:tc>
      </w:tr>
      <w:tr>
        <w:tc>
          <w:tcPr>
            <w:tcW w:w="3182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Terminated, still ACTIVE in Okta</w:t>
            </w:r>
          </w:p>
        </w:tc>
        <w:tc>
          <w:tcPr>
            <w:tcW w:w="149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~40% of terms</w:t>
            </w:r>
          </w:p>
        </w:tc>
        <w:tc>
          <w:tcPr>
            <w:tcW w:w="4680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un-deprovisioned failure mode</w:t>
            </w:r>
          </w:p>
        </w:tc>
      </w:tr>
      <w:tr>
        <w:tc>
          <w:tcPr>
            <w:tcW w:w="318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Terminated, SUSPENDED</w:t>
            </w:r>
          </w:p>
        </w:tc>
        <w:tc>
          <w:tcPr>
            <w:tcW w:w="149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~30%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Unpaid-leave vs. terminated ambiguity</w:t>
            </w:r>
          </w:p>
        </w:tc>
      </w:tr>
      <w:tr>
        <w:tc>
          <w:tcPr>
            <w:tcW w:w="3182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Terminated, never created</w:t>
            </w:r>
          </w:p>
        </w:tc>
        <w:tc>
          <w:tcPr>
            <w:tcW w:w="149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~30%</w:t>
            </w:r>
          </w:p>
        </w:tc>
        <w:tc>
          <w:tcPr>
            <w:tcW w:w="4680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“no Okta account at all” branch</w:t>
            </w:r>
          </w:p>
        </w:tc>
      </w:tr>
      <w:tr>
        <w:tc>
          <w:tcPr>
            <w:tcW w:w="318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Pre-existing demo-org users</w:t>
            </w:r>
          </w:p>
        </w:tc>
        <w:tc>
          <w:tcPr>
            <w:tcW w:w="149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18</w:t>
            </w:r>
          </w:p>
        </w:tc>
        <w:tc>
          <w:tcPr>
            <w:tcW w:w="468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Blast-radius check — must stay untouched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color w:val="23272E"/>
          <w:sz w:val="21"/>
          <w:szCs w:val="21"/>
        </w:rPr>
        <w:t xml:space="preserve">A clean population proves nothing — all three branches had to exist before the classifier could be trusted to tell them apart. </w:t>
      </w:r>
      <w:r>
        <w:rPr>
          <w:rFonts w:ascii="Consolas" w:hAnsi="Consolas" w:cs="Consolas"/>
          <w:color w:val="23272E"/>
          <w:sz w:val="19"/>
          <w:szCs w:val="19"/>
          <w:shd w:val="clear" w:color="auto" w:fill="F4F6F9"/>
        </w:rPr>
        <w:t xml:space="preserve">verify_seed.py</w:t>
      </w:r>
      <w:r>
        <w:rPr>
          <w:rFonts w:ascii="Calibri" w:hAnsi="Calibri" w:cs="Calibri"/>
          <w:color w:val="23272E"/>
          <w:sz w:val="21"/>
          <w:szCs w:val="21"/>
        </w:rPr>
        <w:t xml:space="preserve"> recomputes expected state from the source files and reconciles it against a live pull: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PASS on all 5 checks</w:t>
      </w:r>
      <w:r>
        <w:rPr>
          <w:rFonts w:ascii="Calibri" w:hAnsi="Calibri" w:cs="Calibri"/>
          <w:color w:val="23272E"/>
          <w:sz w:val="21"/>
          <w:szCs w:val="21"/>
        </w:rPr>
        <w:t xml:space="preserve">.</w:t>
      </w: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The Detective Control service, and the pipeline it runs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PROVEN.</w:t>
      </w: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What the control runs as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0"/>
        <w:gridCol w:w="160"/>
        <w:gridCol w:w="4600"/>
      </w:tblGrid>
      <w:tr>
        <w:tc>
          <w:tcPr>
            <w:tcW w:w="460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LAYER 1 — GRANTED SCOPES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okta.users.read · okta.apps.read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okta.governance.accessCertifications.read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460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LAYER 2 — ADMIN ROLES ON THE CLIENT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READ_ONLY_ADMIN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ACCESS_CERTIFICATIONS_ADMIN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6B15"/>
            </w:tcBorders>
            <w:shd w:val="clear" w:color="auto" w:fill="FBF2E0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9C6B15"/>
                <w:sz w:val="18"/>
                <w:szCs w:val="18"/>
              </w:rPr>
              <w:t xml:space="preserve">EFFECTIVE PERMISSION = LAYER 1 ∩ LAYER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Scopes alone yield E0000006. Both layers are load-bearing — a prod access request must ask for both.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color w:val="23272E"/>
          <w:sz w:val="21"/>
          <w:szCs w:val="21"/>
        </w:rPr>
        <w:t xml:space="preserve">An OAuth service app using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private_key_jwt</w:t>
      </w:r>
      <w:r>
        <w:rPr>
          <w:rFonts w:ascii="Calibri" w:hAnsi="Calibri" w:cs="Calibri"/>
          <w:color w:val="23272E"/>
          <w:sz w:val="21"/>
          <w:szCs w:val="21"/>
        </w:rPr>
        <w:t xml:space="preserve"> — no client secret exists to leak. The pipeline previously ran on a personal admin SSWS token; that was rejected because it is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person-bound, unscoped, and dies with the person's account</w:t>
      </w:r>
      <w:r>
        <w:rPr>
          <w:rFonts w:ascii="Calibri" w:hAnsi="Calibri" w:cs="Calibri"/>
          <w:color w:val="23272E"/>
          <w:sz w:val="21"/>
          <w:szCs w:val="21"/>
        </w:rPr>
        <w:t xml:space="preserve">, so it cannot pass a SOX access review of the control itself.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Read-only by construction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proven by a 403 in the gate rather than asserted by policy. A detective control that cannot mutate what it inspects cannot destroy its own evidence.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Privilege separation: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seeding and campaign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management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stay on the admin token — they are privileged scaffolding, not the control.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Verified two ways: negative cases in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verify_oauth.py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(write 403s, ungranted scope refused), and an equivalence proof — a full tenant pull through both clients,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0 mismatches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What it does each cycle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13"/>
        <w:gridCol w:w="160"/>
        <w:gridCol w:w="3013"/>
        <w:gridCol w:w="160"/>
        <w:gridCol w:w="3013"/>
      </w:tblGrid>
      <w:tr>
        <w:tc>
          <w:tcPr>
            <w:tcW w:w="3013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ACTIVE / PAID / UNPAID LEAVE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access legitimate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3013" w:type="dxa"/>
            <w:tcBorders>
              <w:left w:val="single" w:sz="24" w:space="0" w:color="9C4A4A"/>
            </w:tcBorders>
            <w:shd w:val="clear" w:color="auto" w:fill="F8ECEC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9C4A4A"/>
                <w:sz w:val="18"/>
                <w:szCs w:val="18"/>
              </w:rPr>
              <w:t xml:space="preserve">RETIRED / TERMINATED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FINDING → ServiceNow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3013" w:type="dxa"/>
            <w:tcBorders>
              <w:left w:val="single" w:sz="24" w:space="0" w:color="9C6B15"/>
            </w:tcBorders>
            <w:shd w:val="clear" w:color="auto" w:fill="FBF2E0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9C6B15"/>
                <w:sz w:val="18"/>
                <w:szCs w:val="18"/>
              </w:rPr>
              <w:t xml:space="preserve">CANNOT DETERMINE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LOUD UNKNOWN → adjudication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b/>
          <w:color w:val="23272E"/>
          <w:sz w:val="21"/>
          <w:szCs w:val="21"/>
        </w:rPr>
        <w:t xml:space="preserve">Three rules, each bought with a real defect.</w:t>
      </w:r>
      <w:r>
        <w:rPr>
          <w:rFonts w:ascii="Calibri" w:hAnsi="Calibri" w:cs="Calibri"/>
          <w:color w:val="23272E"/>
          <w:sz w:val="21"/>
          <w:szCs w:val="21"/>
        </w:rPr>
        <w:t xml:space="preserve"> (1) An exception never suppresses a positive termination hit — one identity was both Terminated </w:t>
      </w:r>
      <w:r>
        <w:rPr>
          <w:rFonts w:ascii="Calibri" w:hAnsi="Calibri" w:cs="Calibri"/>
          <w:i/>
          <w:color w:val="23272E"/>
          <w:sz w:val="21"/>
          <w:szCs w:val="21"/>
        </w:rPr>
        <w:t xml:space="preserve">and</w:t>
      </w:r>
      <w:r>
        <w:rPr>
          <w:rFonts w:ascii="Calibri" w:hAnsi="Calibri" w:cs="Calibri"/>
          <w:color w:val="23272E"/>
          <w:sz w:val="21"/>
          <w:szCs w:val="21"/>
        </w:rPr>
        <w:t xml:space="preserve"> exception-listed, and exception-matching first suppressed a terminated privileged account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every cycle</w:t>
      </w:r>
      <w:r>
        <w:rPr>
          <w:rFonts w:ascii="Calibri" w:hAnsi="Calibri" w:cs="Calibri"/>
          <w:color w:val="23272E"/>
          <w:sz w:val="21"/>
          <w:szCs w:val="21"/>
        </w:rPr>
        <w:t xml:space="preserve">. (2) The unknown branch is loud: 30 clearly-terminated against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478 ambiguous</w:t>
      </w:r>
      <w:r>
        <w:rPr>
          <w:rFonts w:ascii="Calibri" w:hAnsi="Calibri" w:cs="Calibri"/>
          <w:color w:val="23272E"/>
          <w:sz w:val="21"/>
          <w:szCs w:val="21"/>
        </w:rPr>
        <w:t xml:space="preserve"> rows, 16:1 — adjudicating “can't tell” </w:t>
      </w:r>
      <w:r>
        <w:rPr>
          <w:rFonts w:ascii="Calibri" w:hAnsi="Calibri" w:cs="Calibri"/>
          <w:i/>
          <w:color w:val="23272E"/>
          <w:sz w:val="21"/>
          <w:szCs w:val="21"/>
        </w:rPr>
        <w:t xml:space="preserve">is</w:t>
      </w:r>
      <w:r>
        <w:rPr>
          <w:rFonts w:ascii="Calibri" w:hAnsi="Calibri" w:cs="Calibri"/>
          <w:color w:val="23272E"/>
          <w:sz w:val="21"/>
          <w:szCs w:val="21"/>
        </w:rPr>
        <w:t xml:space="preserve"> the control's real cost. (3) A missing export is an error, never an empty app, which would read as “every account vanished” and hand closure a 100% false-closure rate.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23272E"/>
          <w:sz w:val="21"/>
          <w:szCs w:val="21"/>
        </w:rPr>
        <w:t xml:space="preserve">Live run, all 10 apps:</w:t>
      </w:r>
      <w:r>
        <w:rPr>
          <w:rFonts w:ascii="Calibri" w:hAnsi="Calibri" w:cs="Calibri"/>
          <w:color w:val="23272E"/>
          <w:sz w:val="21"/>
          <w:szCs w:val="21"/>
        </w:rPr>
        <w:t xml:space="preserve"> 4,404 app rows + 2,035 HR rows → 3,996 joined / 201 no-HR-match / 207 unjoinable →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57 REQ/RITM/SCTASK chains, 0 errors</w:t>
      </w:r>
      <w:r>
        <w:rPr>
          <w:rFonts w:ascii="Calibri" w:hAnsi="Calibri" w:cs="Calibri"/>
          <w:color w:val="23272E"/>
          <w:sz w:val="21"/>
          <w:szCs w:val="21"/>
        </w:rPr>
        <w:t xml:space="preserve">, 454 unknowns, 431 orphans — then independently re-queried out of ServiceNow, 57/57 resolving live. Coverage went from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12 of 19 apps to any app with an export</w:t>
      </w:r>
      <w:r>
        <w:rPr>
          <w:rFonts w:ascii="Calibri" w:hAnsi="Calibri" w:cs="Calibri"/>
          <w:color w:val="23272E"/>
          <w:sz w:val="21"/>
          <w:szCs w:val="21"/>
        </w:rPr>
        <w:t xml:space="preserve">.</w:t>
      </w: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Entitlements, grants, campaigns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 — grants loaded and gated; one campaign LIVE, one dormant.</w:t>
      </w: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Role-level certification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20"/>
        <w:gridCol w:w="2100"/>
        <w:gridCol w:w="320"/>
        <w:gridCol w:w="2100"/>
        <w:gridCol w:w="320"/>
        <w:gridCol w:w="2100"/>
      </w:tblGrid>
      <w:tr>
        <w:tc>
          <w:tcPr>
            <w:tcW w:w="210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Entitlement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“Role”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210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Values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Standard · Read Only · Power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Administrator · Service Account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210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Grant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principal → value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210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Reviewer sees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“— Role: Power User”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color w:val="23272E"/>
          <w:sz w:val="21"/>
          <w:szCs w:val="21"/>
        </w:rPr>
        <w:t xml:space="preserve">Entitlements do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not</w:t>
      </w:r>
      <w:r>
        <w:rPr>
          <w:rFonts w:ascii="Calibri" w:hAnsi="Calibri" w:cs="Calibri"/>
          <w:color w:val="23272E"/>
          <w:sz w:val="21"/>
          <w:szCs w:val="21"/>
        </w:rPr>
        <w:t xml:space="preserve"> require SCIM — plain SAML apps hold them, which is what makes governing 10 disconnected apps possible at all. Certification becomes the question an auditor actually asks: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“should this person still be an Administrator?”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4A4A"/>
            </w:tcBorders>
            <w:shd w:val="clear" w:color="auto" w:fill="F8ECEC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4A4A"/>
                <w:sz w:val="20"/>
                <w:szCs w:val="20"/>
              </w:rPr>
              <w:t xml:space="preserve">THE PRIVILEGE-MASKING DEFECT, AND HOW IT WAS CLEARED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defect: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136 identities hold conflicting roles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across duplicate accounts, and a first-row-wins loader can grant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Power User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while dropping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Administrator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exact masking this control exists to catch. The load was killed mid-run rather than finished.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constraint (probed live first):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grants cannot be PATCHed or DELETEd (both 400) and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multiValue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cannot be flipped —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only lever is re-POSTing a value, which replaces it.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fix — highest privilege wins.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Reload: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err=0, 1,069 granted, 37 conflicted principals corrected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; verifier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PASS, 0 failures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--selftest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fails on all 10 — proven falsifiable.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Stopping was the control working, not the project slipping.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Campaigns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34"/>
        <w:gridCol w:w="2059"/>
        <w:gridCol w:w="4867"/>
      </w:tblGrid>
      <w:tr>
        <w:trPr>
          <w:tblHeader/>
        </w:trPr>
        <w:tc>
          <w:tcPr>
            <w:tcW w:w="2434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Campaign</w:t>
            </w:r>
          </w:p>
        </w:tc>
        <w:tc>
          <w:tcPr>
            <w:tcW w:w="2059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State</w:t>
            </w:r>
          </w:p>
        </w:tc>
        <w:tc>
          <w:tcPr>
            <w:tcW w:w="4867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Proof</w:t>
            </w:r>
          </w:p>
        </w:tc>
      </w:tr>
      <w:tr>
        <w:tc>
          <w:tcPr>
            <w:tcW w:w="243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Access Certification: ComSat</w:t>
            </w:r>
          </w:p>
        </w:tc>
        <w:tc>
          <w:tcPr>
            <w:tcW w:w="205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LIVE / ACTIVE</w:t>
            </w:r>
          </w:p>
        </w:tc>
        <w:tc>
          <w:tcPr>
            <w:tcW w:w="486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20 items = 20 grants, </w:t>
            </w: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0 lacking the entitlement value</w:t>
            </w:r>
          </w:p>
        </w:tc>
      </w:tr>
      <w:tr>
        <w:tc>
          <w:tcPr>
            <w:tcW w:w="2434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Access Certification: CloudForce HQ</w:t>
            </w:r>
          </w:p>
        </w:tc>
        <w:tc>
          <w:tcPr>
            <w:tcW w:w="205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SCHEDULED, never launched</w:t>
            </w:r>
          </w:p>
        </w:tc>
        <w:tc>
          <w:tcPr>
            <w:tcW w:w="486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Dormant at +365d — preparing and starting are separate acts</w:t>
            </w:r>
          </w:p>
        </w:tc>
      </w:tr>
      <w:tr>
        <w:tc>
          <w:tcPr>
            <w:tcW w:w="243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Quarterly UAR · Flagged Population</w:t>
            </w:r>
          </w:p>
        </w:tc>
        <w:tc>
          <w:tcPr>
            <w:tcW w:w="205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Builder never run</w:t>
            </w:r>
          </w:p>
        </w:tc>
        <w:tc>
          <w:tcPr>
            <w:tcW w:w="486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Earlier proof: 392-item UAR; 27/27 flagged items tie to recon findings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Remediation is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NO_ACTION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on every outcome;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build ≠ execute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Reviewers are the named Access Management team; their manager reviews nothing.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landmine: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entitlement-level review needs BOTH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includeEntitlements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AND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includeAllEntitlementsAndBundles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With neither, the campaign is created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happily, with no error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at app-assignment level. It cost one wrong campaign.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Closure loop, and the discipline that makes it evidence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PROVEN as scripted · DESIGNED for Workflows (Console-only — no API builds a flow).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CONFIRMED TERMINATION  /  REVOKE DECISION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ORDER FROM THE SERVICE CATALOG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order_now — direct writes to sc_request/sc_task are blocked by ServiceNow's own rules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REQ → RITM → SCTASK, EVIDENCE IN THE VARIABLES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app · account alias · UPN · employee ID · HR + Okta status · reason · cycle id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FULFILLER REMOVES ACCESS, CLOSES THE TASK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0"/>
        <w:gridCol w:w="160"/>
        <w:gridCol w:w="4600"/>
      </w:tblGrid>
      <w:tr>
        <w:tc>
          <w:tcPr>
            <w:tcW w:w="460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NEXT EXPORT: ACCESS GONE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BEFORE/AFTER work note — VERIFIED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4600" w:type="dxa"/>
            <w:tcBorders>
              <w:left w:val="single" w:sz="24" w:space="0" w:color="9C4A4A"/>
            </w:tcBorders>
            <w:shd w:val="clear" w:color="auto" w:fill="F8ECEC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9C4A4A"/>
                <w:sz w:val="18"/>
                <w:szCs w:val="18"/>
              </w:rPr>
              <w:t xml:space="preserve">NEXT EXPORT: STILL PRESENT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“REMOVAL NOT VERIFIED” + task REOPENED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4A4A"/>
            </w:tcBorders>
            <w:shd w:val="clear" w:color="auto" w:fill="F8ECEC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4A4A"/>
                <w:sz w:val="20"/>
                <w:szCs w:val="20"/>
              </w:rPr>
              <w:t xml:space="preserve">THE ACCEPTANCE CRITERION — the false-closure test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A ticket was deliberately closed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without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removing the access. Result: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11 genuine removals got VERIFIED notes; the 2 planted false closures were caught, noted “REMOVAL NOT VERIFIED”, and their tasks auto-reopened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journals confirmed at the database level.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If a flow can be fooled by a closed ticket, it is not ready to run for real.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 truncated export is tagged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[UNVERIFIABLE: export anomaly]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 broken export must never look like a mass removal.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The verification discipline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23272E"/>
          <w:sz w:val="21"/>
          <w:szCs w:val="21"/>
        </w:rPr>
        <w:t xml:space="preserve">No claim about tenant state may rest on the writing script's own logs.</w:t>
      </w:r>
      <w:r>
        <w:rPr>
          <w:rFonts w:ascii="Calibri" w:hAnsi="Calibri" w:cs="Calibri"/>
          <w:color w:val="23272E"/>
          <w:sz w:val="21"/>
          <w:szCs w:val="21"/>
        </w:rPr>
        <w:t xml:space="preserve"> The only acceptable evidence is a fresh </w:t>
      </w:r>
      <w:r>
        <w:rPr>
          <w:rFonts w:ascii="Consolas" w:hAnsi="Consolas" w:cs="Consolas"/>
          <w:color w:val="23272E"/>
          <w:sz w:val="19"/>
          <w:szCs w:val="19"/>
          <w:shd w:val="clear" w:color="auto" w:fill="F4F6F9"/>
        </w:rPr>
        <w:t xml:space="preserve">verify_*.py</w:t>
      </w:r>
      <w:r>
        <w:rPr>
          <w:rFonts w:ascii="Calibri" w:hAnsi="Calibri" w:cs="Calibri"/>
          <w:color w:val="23272E"/>
          <w:sz w:val="21"/>
          <w:szCs w:val="21"/>
        </w:rPr>
        <w:t xml:space="preserve"> run that recomputes expected state from the source files, reconciles it against a live API pull, and ends in one </w:t>
      </w:r>
      <w:r>
        <w:rPr>
          <w:rFonts w:ascii="Consolas" w:hAnsi="Consolas" w:cs="Consolas"/>
          <w:color w:val="23272E"/>
          <w:sz w:val="19"/>
          <w:szCs w:val="19"/>
          <w:shd w:val="clear" w:color="auto" w:fill="F4F6F9"/>
        </w:rPr>
        <w:t xml:space="preserve">VERDICT</w:t>
      </w:r>
      <w:r>
        <w:rPr>
          <w:rFonts w:ascii="Calibri" w:hAnsi="Calibri" w:cs="Calibri"/>
          <w:color w:val="23272E"/>
          <w:sz w:val="21"/>
          <w:szCs w:val="21"/>
        </w:rPr>
        <w:t xml:space="preserve"> line.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429"/>
        <w:gridCol w:w="3931"/>
      </w:tblGrid>
      <w:tr>
        <w:trPr>
          <w:tblHeader/>
        </w:trPr>
        <w:tc>
          <w:tcPr>
            <w:tcW w:w="5429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Gate</w:t>
            </w:r>
          </w:p>
        </w:tc>
        <w:tc>
          <w:tcPr>
            <w:tcW w:w="3931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Live result</w:t>
            </w:r>
          </w:p>
        </w:tc>
      </w:tr>
      <w:tr>
        <w:tc>
          <w:tcPr>
            <w:tcW w:w="542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verify_seed.py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users, statuses, assignments, blast radius</w:t>
            </w:r>
          </w:p>
        </w:tc>
        <w:tc>
          <w:tcPr>
            <w:tcW w:w="3931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5 checks</w:t>
            </w:r>
          </w:p>
        </w:tc>
      </w:tr>
      <w:tr>
        <w:tc>
          <w:tcPr>
            <w:tcW w:w="542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verify_oauth.py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scopes </w:t>
            </w: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and the negative cases</w:t>
            </w:r>
          </w:p>
        </w:tc>
        <w:tc>
          <w:tcPr>
            <w:tcW w:w="3931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write 403s</w:t>
            </w:r>
          </w:p>
        </w:tc>
      </w:tr>
      <w:tr>
        <w:tc>
          <w:tcPr>
            <w:tcW w:w="542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verify_reidentity_tenant.py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zero original name pairings</w:t>
            </w:r>
          </w:p>
        </w:tc>
        <w:tc>
          <w:tcPr>
            <w:tcW w:w="3931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0 pairings</w:t>
            </w:r>
          </w:p>
        </w:tc>
      </w:tr>
      <w:tr>
        <w:tc>
          <w:tcPr>
            <w:tcW w:w="542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oig_verify_all.py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highest-privilege contract, all 10 apps</w:t>
            </w:r>
          </w:p>
        </w:tc>
        <w:tc>
          <w:tcPr>
            <w:tcW w:w="3931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 — 0 failures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--selftest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fails on all 10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b/>
          <w:color w:val="5A6270"/>
          <w:sz w:val="19"/>
          <w:szCs w:val="19"/>
        </w:rPr>
        <w:t xml:space="preserve">A gate that has never been shown to fail is not evidence.</w:t>
      </w:r>
      <w:r>
        <w:rPr>
          <w:rFonts w:ascii="Calibri" w:hAnsi="Calibri" w:cs="Calibri"/>
          <w:color w:val="5A6270"/>
          <w:sz w:val="19"/>
          <w:szCs w:val="19"/>
        </w:rPr>
        <w:t xml:space="preserve"> That rule is what caught the privilege-masking defect before it reached a campaign.</w:t>
      </w:r>
    </w:p>
    <w:p>
      <w:pPr>
        <w:spacing w:before="0" w:after="0"/>
        <w:rPr>
          <w:sz w:val="2"/>
          <w:szCs w:val="2"/>
        </w:rPr>
      </w:pPr>
    </w:p>
    <w:sectPr>
      <w:footerReference w:type="default" r:id="rId3"/>
      <w:pgSz w:w="12240" w:h="15840"/>
      <w:pgMar w:top="1080" w:right="1080" w:bottom="1080" w:left="1080" w:header="600" w:footer="60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/>
      <w:jc w:val="right"/>
    </w:pPr>
    <w:r>
      <w:rPr>
        <w:rFonts w:ascii="Calibri" w:hAnsi="Calibri" w:cs="Calibri"/>
        <w:color w:val="5A6270"/>
        <w:sz w:val="16"/>
        <w:szCs w:val="16"/>
      </w:rPr>
      <w:t xml:space="preserve">BiTerm — Build Lab (6-page edition)   · 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cs="Calibri"/>
        <w:b/>
        <w:color w:val="5A6270"/>
        <w:sz w:val="16"/>
        <w:szCs w:val="16"/>
      </w:rPr>
      <w:t xml:space="preserve"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3272E"/>
        <w:sz w:val="21"/>
        <w:szCs w:val="21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BiTerm — Build Lab (6-page edition)</dc:title>
  <dc:creator>Access Management</dc:creator>
  <dc:subject>Biweekly termination review on Okta Identity Governance + ServiceNow</dc:subject>
</cp:coreProperties>
</file>