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713232" cy="713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3232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jc w:val="center"/>
      </w:pPr>
      <w:r>
        <w:rPr>
          <w:rFonts w:ascii="Arial" w:hAnsi="Arial"/>
          <w:b w:val="0"/>
          <w:sz w:val="22"/>
        </w:rPr>
        <w:t>Bora Kocabıyık — 21290270</w:t>
      </w:r>
    </w:p>
    <w:p>
      <w:pPr>
        <w:spacing w:before="0" w:after="40" w:line="240" w:lineRule="auto"/>
        <w:jc w:val="center"/>
      </w:pPr>
      <w:r>
        <w:rPr>
          <w:rFonts w:ascii="Arial" w:hAnsi="Arial"/>
          <w:b w:val="0"/>
          <w:sz w:val="22"/>
        </w:rPr>
        <w:t>BLM4510 — Bilgi Teknolojileri ve Güvenlik Yönetimi Final Projesi</w:t>
      </w:r>
    </w:p>
    <w:p>
      <w:pPr>
        <w:spacing w:before="0" w:after="40" w:line="240" w:lineRule="auto"/>
        <w:jc w:val="center"/>
      </w:pPr>
      <w:r>
        <w:rPr>
          <w:rFonts w:ascii="Arial" w:hAnsi="Arial"/>
          <w:b/>
          <w:sz w:val="24"/>
        </w:rPr>
        <w:t>Parola Yöneticilerinde KDF ve Vault Bütünlüğü Zafiyetlerinin Güvenlik Simülasyonu</w:t>
      </w:r>
    </w:p>
    <w:p>
      <w:pPr>
        <w:spacing w:before="0" w:after="80" w:line="240" w:lineRule="auto"/>
        <w:jc w:val="center"/>
      </w:pPr>
      <w:r>
        <w:rPr>
          <w:rFonts w:ascii="Arial" w:hAnsi="Arial"/>
          <w:b w:val="0"/>
          <w:sz w:val="20"/>
        </w:rPr>
        <w:t>17.06.2026</w:t>
      </w:r>
    </w:p>
    <w:p>
      <w:pPr>
        <w:pBdr>
          <w:bottom w:val="single" w:sz="6" w:space="1" w:color="999999"/>
        </w:pBdr>
      </w:pPr>
    </w:p>
    <w:p>
      <w:pPr>
        <w:pStyle w:val="Heading2"/>
        <w:keepNext/>
        <w:spacing w:before="240" w:after="120"/>
        <w:jc w:val="left"/>
      </w:pPr>
      <w:r>
        <w:rPr>
          <w:rFonts w:ascii="Arial" w:hAnsi="Arial"/>
          <w:b/>
          <w:color w:val="000000"/>
          <w:sz w:val="24"/>
          <w:u w:val="single"/>
        </w:rPr>
        <w:t>Proje Amacı ve Tehdit Modeli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Bu eğitsel simülatör, parola yöneticilerinin iki temel güvenlik özelliğini gösterir: ana paroladan anahtar türetme (KDF) ve vault (kasa) dosyasının bütünlüğü. Tüm gösterimler yerel sahte verilerle yapılır. Tehdit modeli: saldırgan ana parolayı bilmez ama vault dosyasına durağan halde (at-rest) okuma/yazma erişimi vardır (çalınmış yedek, ele geçirilmiş senkron sunucusu, paylaşılan cihaz). Bu modelde bütünlük, gizlilik kadar kritiktir; saldırgan içeriği okuyamasa bile dosyayı kurcalayarak sistemi sessizce bozabilir.</w:t>
      </w:r>
    </w:p>
    <w:p>
      <w:pPr>
        <w:pStyle w:val="Heading2"/>
        <w:keepNext/>
        <w:spacing w:before="240" w:after="120"/>
        <w:jc w:val="left"/>
      </w:pPr>
      <w:r>
        <w:rPr>
          <w:rFonts w:ascii="Arial" w:hAnsi="Arial"/>
          <w:b/>
          <w:color w:val="000000"/>
          <w:sz w:val="24"/>
          <w:u w:val="single"/>
        </w:rPr>
        <w:t>KDF: PBKDF2 ve Argon2id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KDF, ana parolayı kasıtlı olarak yavaş bir işlemle anahtara çevirir ve kaba kuvvet (brute-force) saldırısında her tahmini pahalılaştırır. Apple M4'te ölçülen süreler: PBKDF2 1.000 iter ≈ 0,2 ms, 600.000 iter ≈ 113 ms (her tahmin ~500× daha maliyetli). Argon2id (t=3, m=64 MiB) ≈ 90 ms; her tahminde 64 MiB bellek gerektirdiğinden GPU/ASIC ile paralel kırmaya dirençlidir. Simülatörde iki KDF de seçilebilir.</w:t>
      </w:r>
    </w:p>
    <w:p>
      <w:pPr>
        <w:pStyle w:val="Heading2"/>
        <w:keepNext/>
        <w:spacing w:before="240" w:after="120"/>
        <w:jc w:val="left"/>
      </w:pPr>
      <w:r>
        <w:rPr>
          <w:rFonts w:ascii="Arial" w:hAnsi="Arial"/>
          <w:b/>
          <w:color w:val="000000"/>
          <w:sz w:val="24"/>
          <w:u w:val="single"/>
        </w:rPr>
        <w:t>Vault Bütünlüğü: Güvensiz ve Güvenli Tasarım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Güvensiz tasarım (AES-CTR): Veri şifrelenir ama bütünlük mührü (MAC) yoktur. AES-CTR şekillendirilebilir (malleable) olduğundan saldırgan, anahtarı bilmeden şifreli baytları çevirerek düz metni öngörülebilir biçimde değiştirebilir. Güvenli tasarım (AES-GCM / AEAD): Şifreleme ve bütünlük tek adımdadır; KDF parametreleri ve sürüm numarası ilişkili veri (AAD) ile kimlik doğrulamasına bağlanır. Herhangi bir yerinde değişiklik GCM etiketini geçersiz kılar ve çözme reddedilir.</w:t>
      </w:r>
    </w:p>
    <w:p>
      <w:pPr>
        <w:pStyle w:val="Heading2"/>
        <w:keepNext/>
        <w:spacing w:before="240" w:after="120"/>
        <w:jc w:val="left"/>
      </w:pPr>
      <w:r>
        <w:rPr>
          <w:rFonts w:ascii="Arial" w:hAnsi="Arial"/>
          <w:b/>
          <w:color w:val="000000"/>
          <w:sz w:val="24"/>
          <w:u w:val="single"/>
        </w:rPr>
        <w:t>Demo Senaryoları ve Sonuçlar</w:t>
      </w:r>
    </w:p>
    <w:p>
      <w:pPr>
        <w:pStyle w:val="ListBullet"/>
        <w:spacing w:after="40" w:line="276" w:lineRule="auto"/>
      </w:pPr>
      <w:r>
        <w:rPr>
          <w:rFonts w:ascii="Arial" w:hAnsi="Arial"/>
          <w:sz w:val="22"/>
        </w:rPr>
        <w:t>Bit çevirme: Güvensiz kasada parola “SuperSecret!42” → “superSecret!42” olarak sessizce, öngörülebilir biçimde değişti; güvenli kasada IntegrityError ile reddedildi.</w:t>
      </w:r>
    </w:p>
    <w:p>
      <w:pPr>
        <w:pStyle w:val="ListBullet"/>
        <w:spacing w:after="40" w:line="276" w:lineRule="auto"/>
      </w:pPr>
      <w:r>
        <w:rPr>
          <w:rFonts w:ascii="Arial" w:hAnsi="Arial"/>
          <w:sz w:val="22"/>
        </w:rPr>
        <w:t>KDF düşürme ve sürüm (in-place) değişikliği: Güvensizde fark edilmedi; güvenlide AAD sayesinde reddedildi.</w:t>
      </w:r>
    </w:p>
    <w:p>
      <w:pPr>
        <w:pStyle w:val="ListBullet"/>
        <w:spacing w:after="40" w:line="276" w:lineRule="auto"/>
      </w:pPr>
      <w:r>
        <w:rPr>
          <w:rFonts w:ascii="Arial" w:hAnsi="Arial"/>
          <w:sz w:val="22"/>
        </w:rPr>
        <w:t>Tam dosya replay: Eski ama geçerli bir kasa her iki modda da çözüldü — AAD bunu engelleyemez, harici monoton sayaç gerekir.</w:t>
      </w:r>
    </w:p>
    <w:p>
      <w:pPr>
        <w:pStyle w:val="ListBullet"/>
        <w:spacing w:after="40" w:line="276" w:lineRule="auto"/>
      </w:pPr>
      <w:r>
        <w:rPr>
          <w:rFonts w:ascii="Arial" w:hAnsi="Arial"/>
          <w:sz w:val="22"/>
        </w:rPr>
        <w:t>Doğrulama: Davranışlar 21/21 otomatik pytest testiyle doğrulandı.</w:t>
      </w:r>
    </w:p>
    <w:p>
      <w:pPr>
        <w:spacing w:after="120" w:line="276" w:lineRule="auto"/>
        <w:jc w:val="both"/>
      </w:pPr>
      <w:r>
        <w:rPr>
          <w:rFonts w:ascii="Arial" w:hAnsi="Arial"/>
          <w:sz w:val="22"/>
        </w:rPr>
        <w:t>Güvenlik sonucu: Şifreleme tek başına yeterli değildir. Parola yöneticisi, şifreli metnin ve kriptografik parametrelerin bütünlüğünü de korumalıdır; AES-GCM + AAD yerinde kurcalamayı engeller, tam dosya replay için ise harici monoton sürüm sayacı gerekir.</w:t>
      </w:r>
    </w:p>
    <w:sectPr w:rsidR="00FC693F" w:rsidRPr="0006063C" w:rsidSect="00034616">
      <w:footerReference w:type="default" r:id="rId9"/>
      <w:pgSz w:w="11900" w:h="16840"/>
      <w:pgMar w:top="1417" w:right="1134" w:bottom="1417" w:left="1701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 w:ascii="Arial" w:hAnsi="Arial"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 w:ascii="Arial" w:hAnsi="Arial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 w:ascii="Arial" w:hAnsi="Arial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