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3B4B" w14:textId="0F2C2747" w:rsidR="00315074" w:rsidRDefault="00315074" w:rsidP="00315074">
      <w:pPr>
        <w:ind w:left="397" w:right="7"/>
      </w:pPr>
      <w:r w:rsidRPr="00315074">
        <w:rPr>
          <w:b/>
          <w:bCs/>
        </w:rPr>
        <w:t>187.</w:t>
      </w:r>
      <w:r>
        <w:t xml:space="preserve"> Oruç gecesinde kadınlarınıza yaklaşmak size helal kılındı.</w:t>
      </w:r>
      <w:r w:rsidRPr="00315074">
        <w:rPr>
          <w:sz w:val="14"/>
          <w:szCs w:val="14"/>
        </w:rPr>
        <w:t>48</w:t>
      </w:r>
      <w:r>
        <w:rPr>
          <w:sz w:val="14"/>
          <w:szCs w:val="14"/>
        </w:rPr>
        <w:t xml:space="preserve"> </w:t>
      </w:r>
      <w:bookmarkStart w:id="0" w:name="_Hlk176866282"/>
      <w:r>
        <w:rPr>
          <w:sz w:val="14"/>
          <w:szCs w:val="14"/>
        </w:rPr>
        <w:t xml:space="preserve"> </w:t>
      </w:r>
      <w:r w:rsidRPr="00315074">
        <w:t>Onlar, size örtüdürler, siz de onlara örtüsünüz.</w:t>
      </w:r>
      <w:r w:rsidRPr="00315074">
        <w:rPr>
          <w:sz w:val="14"/>
          <w:szCs w:val="14"/>
        </w:rPr>
        <w:t>49</w:t>
      </w:r>
      <w:r>
        <w:t xml:space="preserve"> </w:t>
      </w:r>
      <w:r w:rsidRPr="00315074">
        <w:t>Allah, (Ramazan gecelerinde hanımlarınıza yaklaşarak) kendinize zulmetmekte olduğunuzu bildi de tövbenizi kabul edip sizi affetti. Artık eşlerinize yaklaşın ve Allah’ın sizin için yazıp takdir etmiş olduğu şeyi arayın. Şafağın aydınlığı gecenin karanlığından ayırt edilinceye (tan yeri ağarıncaya) kadar yiyin, için. Sonra da akşama kadar orucu tam tutun. Bununla birlikte siz mescitlerde itikâfta iken eşlerinize yaklaşmayın. Bunlar, Allah’ın koyduğu sınırlardır. Bu sınırlara yaklaşmayın. Allah, kendine karşı gelmekten sakınsınlar diye, âyetlerini insanlara böylece açıklar.</w:t>
      </w:r>
    </w:p>
    <w:p w14:paraId="052E43B2" w14:textId="1E7E0FE9" w:rsidR="00315074" w:rsidRDefault="00315074" w:rsidP="00315074">
      <w:pPr>
        <w:ind w:left="397" w:right="7"/>
      </w:pPr>
      <w:r>
        <w:rPr>
          <w:b/>
          <w:bCs/>
        </w:rPr>
        <w:t>188.</w:t>
      </w:r>
      <w:r>
        <w:t xml:space="preserve"> Aranızda birbirinizin mallarını haksız yere yemeyin. İnsanların mallarından bir kısmını bile bile günaha girerek yemek için onları yetki sahiplerine </w:t>
      </w:r>
      <w:r w:rsidRPr="00315074">
        <w:rPr>
          <w:sz w:val="14"/>
          <w:szCs w:val="14"/>
        </w:rPr>
        <w:t>50</w:t>
      </w:r>
      <w:r>
        <w:rPr>
          <w:sz w:val="14"/>
          <w:szCs w:val="14"/>
        </w:rPr>
        <w:t xml:space="preserve"> </w:t>
      </w:r>
      <w:r>
        <w:t>(rüşvet olarak) vermeyin.</w:t>
      </w:r>
    </w:p>
    <w:p w14:paraId="38885E66" w14:textId="36125B85" w:rsidR="00CC16EB" w:rsidRDefault="00CC16EB" w:rsidP="00315074">
      <w:pPr>
        <w:ind w:left="397" w:right="7"/>
        <w:rPr>
          <w:sz w:val="14"/>
          <w:szCs w:val="14"/>
        </w:rPr>
      </w:pPr>
      <w:r>
        <w:rPr>
          <w:b/>
          <w:bCs/>
        </w:rPr>
        <w:t>189.</w:t>
      </w:r>
      <w:r>
        <w:t xml:space="preserve"> Sana, hilalleri soruyorlar. De ki: “Onlar, insanlar ve hac için vakit ölçüleridir. </w:t>
      </w:r>
      <w:r w:rsidRPr="00CC16EB">
        <w:rPr>
          <w:sz w:val="14"/>
          <w:szCs w:val="14"/>
        </w:rPr>
        <w:t>51</w:t>
      </w:r>
      <w:r>
        <w:t xml:space="preserve"> İyilik, evlere arkalarında girmeniz değildir. Ama iyi davranış, takva sahibi (Allah’a karşı gelmekten sakınan) insanın davranışıdır. Evlere kapılarından girin. Allah’a karşı gelmekten sakının ki kurtuluşa eresiniz.</w:t>
      </w:r>
      <w:r w:rsidRPr="00CC16EB">
        <w:rPr>
          <w:sz w:val="14"/>
          <w:szCs w:val="14"/>
        </w:rPr>
        <w:t>52</w:t>
      </w:r>
    </w:p>
    <w:p w14:paraId="3C52886C" w14:textId="713AEA81" w:rsidR="00CC16EB" w:rsidRDefault="00CC16EB" w:rsidP="00315074">
      <w:pPr>
        <w:ind w:left="397" w:right="7"/>
      </w:pPr>
      <w:r>
        <w:rPr>
          <w:b/>
          <w:bCs/>
        </w:rPr>
        <w:t>190.</w:t>
      </w:r>
      <w:r>
        <w:t xml:space="preserve"> Sizinle savaşanlara karşı Allah yolunda siz de savaşın. Ancak aşırı gitmeyin.</w:t>
      </w:r>
      <w:r w:rsidRPr="00CC16EB">
        <w:rPr>
          <w:sz w:val="14"/>
          <w:szCs w:val="14"/>
        </w:rPr>
        <w:t>53</w:t>
      </w:r>
      <w:r>
        <w:t xml:space="preserve"> Çünkü Allah aşırı gidenleri sevmez.</w:t>
      </w:r>
    </w:p>
    <w:p w14:paraId="3EEE733C" w14:textId="5A944390" w:rsidR="00CC16EB" w:rsidRDefault="00CC16EB" w:rsidP="00315074">
      <w:pPr>
        <w:ind w:left="397" w:right="7"/>
        <w:rPr>
          <w:i/>
          <w:iCs/>
          <w:sz w:val="18"/>
          <w:szCs w:val="18"/>
        </w:rPr>
      </w:pPr>
      <w:r w:rsidRPr="00CC16EB">
        <w:rPr>
          <w:i/>
          <w:iCs/>
          <w:sz w:val="18"/>
          <w:szCs w:val="18"/>
        </w:rPr>
        <w:t>48 .Tef</w:t>
      </w:r>
      <w:r>
        <w:rPr>
          <w:i/>
          <w:iCs/>
          <w:sz w:val="18"/>
          <w:szCs w:val="18"/>
        </w:rPr>
        <w:t>sir kaynaklarının aktardığına göre, orucun farz kılındığı ilk dönemlerde müslümanlar, oruç tutacakları zaman sadece güneş batımından yatsı namazını kılıncaya ya da uyuyuncaya kadar yiyip içebiliyorlar; cinsel ilişkide bulunabiliyorlardı. Kısaca imsak, yatsı namazından ya da uykuya dalınmasından itibaren başlardı. Ayet</w:t>
      </w:r>
      <w:r w:rsidR="00923B55">
        <w:rPr>
          <w:i/>
          <w:iCs/>
          <w:sz w:val="18"/>
          <w:szCs w:val="18"/>
        </w:rPr>
        <w:t>te , yatsı namazından ya da uykudan sonra cinsel ilişkinin oruca engel olmadığı vurgulanmaktadır.</w:t>
      </w:r>
    </w:p>
    <w:p w14:paraId="79CA0CA9" w14:textId="26E24B8B" w:rsidR="00D479DF" w:rsidRDefault="00D479DF" w:rsidP="00D479DF">
      <w:pPr>
        <w:ind w:left="397" w:right="7"/>
        <w:rPr>
          <w:i/>
          <w:iCs/>
          <w:sz w:val="18"/>
          <w:szCs w:val="18"/>
        </w:rPr>
      </w:pPr>
      <w:r>
        <w:rPr>
          <w:i/>
          <w:iCs/>
          <w:sz w:val="18"/>
          <w:szCs w:val="18"/>
        </w:rPr>
        <w:t>49 .Ayetin bu kısmında, güçlü bir anlatım üslubu içinde, karı koca arasındaki ilişkinin tabiatı ortaya konmaktadır. Elbise ve örtü insanı nasıl soğuktan ve sıcaktan korur, kusurlarını örterse; eşler de birbirlerine karşı öyle koruyucu, kollayıcı ve bağlı olacaklardır.</w:t>
      </w:r>
    </w:p>
    <w:p w14:paraId="027E01B4" w14:textId="285E1385" w:rsidR="00D479DF" w:rsidRDefault="00D479DF" w:rsidP="00D479DF">
      <w:pPr>
        <w:ind w:left="397" w:right="7"/>
        <w:rPr>
          <w:i/>
          <w:iCs/>
          <w:sz w:val="18"/>
          <w:szCs w:val="18"/>
        </w:rPr>
      </w:pPr>
      <w:r>
        <w:rPr>
          <w:i/>
          <w:iCs/>
          <w:sz w:val="18"/>
          <w:szCs w:val="18"/>
        </w:rPr>
        <w:t xml:space="preserve">50 .”Yetki sahipleri” ifadesi Kur’an metnindeki “hükkam” (tekili hakim) kelimesinin karşılığıdır. Hakim, “hükmeden” , “yöneten” , “yetki ve otorite sahibi” anlamlarını ifade eder. Buna göre mahkemede hüküm veren hakim dahil, herhangi bir  yetki ile bir görev başında bulunan herkes kelimenin kapsamına girer. </w:t>
      </w:r>
    </w:p>
    <w:p w14:paraId="7BAE5C04" w14:textId="06D04659" w:rsidR="00D479DF" w:rsidRDefault="00D479DF" w:rsidP="00D479DF">
      <w:pPr>
        <w:ind w:left="397" w:right="7"/>
        <w:rPr>
          <w:i/>
          <w:iCs/>
          <w:sz w:val="18"/>
          <w:szCs w:val="18"/>
        </w:rPr>
      </w:pPr>
      <w:r>
        <w:rPr>
          <w:i/>
          <w:iCs/>
          <w:sz w:val="18"/>
          <w:szCs w:val="18"/>
        </w:rPr>
        <w:t>51 .Hz. Peygamber’e, “Hilal niçin önce iplik gibi incecik görünüyor, sonra kalınlaşıp nihayet daire şeklini alıyor?” diye soru yöneltilmişti. Ayetin bu kısmında söz konusu soruya, ayın hareketlerinin zaman tayininde, özellikle hac, oruç ve zekat gibi ibadetlerin vakitlerinin belirlenmesinde kıstas olduğu ifade edilerek cevap verilmektedir. Aynı konuya Yunus suresinin 5. ayeti ile İsra suresinin 12. ayetinde de değinilmektedir.</w:t>
      </w:r>
    </w:p>
    <w:p w14:paraId="62C3BA2E" w14:textId="79F49711" w:rsidR="00D479DF" w:rsidRDefault="00D479DF" w:rsidP="00D479DF">
      <w:pPr>
        <w:ind w:left="397" w:right="7"/>
        <w:rPr>
          <w:i/>
          <w:iCs/>
          <w:sz w:val="18"/>
          <w:szCs w:val="18"/>
        </w:rPr>
      </w:pPr>
      <w:r>
        <w:rPr>
          <w:i/>
          <w:iCs/>
          <w:sz w:val="18"/>
          <w:szCs w:val="18"/>
        </w:rPr>
        <w:t>52 .Cahiliye devrinde Araplar ihramlı bulundukları zaman evlerine arka taraftan açtıkları bir delikten girerler ve bunu iyi bir davranış sayarlardı. Ayet, onların bu uygulamarının anlamsız olduğunu, gerçek iyiliğin takva (Allah’a karşı gelmekten sakınma) esasına dayalı davranışlar olduğunu vurguluyor.</w:t>
      </w:r>
    </w:p>
    <w:p w14:paraId="679131DB" w14:textId="347E7A13" w:rsidR="00D479DF" w:rsidRDefault="00D479DF" w:rsidP="00D479DF">
      <w:pPr>
        <w:ind w:left="397" w:right="7"/>
        <w:rPr>
          <w:i/>
          <w:iCs/>
          <w:sz w:val="18"/>
          <w:szCs w:val="18"/>
        </w:rPr>
      </w:pPr>
      <w:r>
        <w:rPr>
          <w:i/>
          <w:iCs/>
          <w:sz w:val="18"/>
          <w:szCs w:val="18"/>
        </w:rPr>
        <w:t xml:space="preserve">53 . “Aşırı gitmeyin” ifadesiyle, mecbur kalmadıkça savaşa girilmemesi, savaş kaçınılmaz hale gelince de savaşta çocuklara, kadınlara, </w:t>
      </w:r>
      <w:r w:rsidR="0069653F">
        <w:rPr>
          <w:i/>
          <w:iCs/>
          <w:sz w:val="18"/>
          <w:szCs w:val="18"/>
        </w:rPr>
        <w:t xml:space="preserve">yaşlılara ve savaşla ilgisi olmayan diğer sivillere zarar verilmemesi, işkenceden sakınılması… gibi hususlar kastedilmektedir. </w:t>
      </w:r>
    </w:p>
    <w:p w14:paraId="7A9BDA7E" w14:textId="77777777" w:rsidR="00D479DF" w:rsidRDefault="00D479DF" w:rsidP="00D479DF">
      <w:pPr>
        <w:ind w:left="397" w:right="7"/>
        <w:rPr>
          <w:i/>
          <w:iCs/>
          <w:sz w:val="18"/>
          <w:szCs w:val="18"/>
        </w:rPr>
      </w:pPr>
    </w:p>
    <w:p w14:paraId="5132877D" w14:textId="2D60FFF4" w:rsidR="00315074" w:rsidRDefault="00315074" w:rsidP="00315074">
      <w:pPr>
        <w:ind w:left="397" w:right="7"/>
      </w:pPr>
    </w:p>
    <w:bookmarkEnd w:id="0"/>
    <w:p w14:paraId="47EE36CB" w14:textId="27ED6532" w:rsidR="00C94A25" w:rsidRDefault="00C94A25">
      <w:pPr>
        <w:rPr>
          <w:sz w:val="14"/>
          <w:szCs w:val="14"/>
        </w:rPr>
      </w:pPr>
    </w:p>
    <w:p w14:paraId="581A7070" w14:textId="77777777" w:rsidR="00315074" w:rsidRDefault="00315074"/>
    <w:sectPr w:rsidR="003150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3E999" w14:textId="77777777" w:rsidR="00540C98" w:rsidRDefault="00540C98" w:rsidP="00315074">
      <w:pPr>
        <w:spacing w:after="0" w:line="240" w:lineRule="auto"/>
      </w:pPr>
      <w:r>
        <w:separator/>
      </w:r>
    </w:p>
  </w:endnote>
  <w:endnote w:type="continuationSeparator" w:id="0">
    <w:p w14:paraId="6FC9D01A" w14:textId="77777777" w:rsidR="00540C98" w:rsidRDefault="00540C98" w:rsidP="0031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1430F" w14:textId="77777777" w:rsidR="00540C98" w:rsidRDefault="00540C98" w:rsidP="00315074">
      <w:pPr>
        <w:spacing w:after="0" w:line="240" w:lineRule="auto"/>
      </w:pPr>
      <w:r>
        <w:separator/>
      </w:r>
    </w:p>
  </w:footnote>
  <w:footnote w:type="continuationSeparator" w:id="0">
    <w:p w14:paraId="6E5DBAC0" w14:textId="77777777" w:rsidR="00540C98" w:rsidRDefault="00540C98" w:rsidP="00315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B4412"/>
    <w:multiLevelType w:val="hybridMultilevel"/>
    <w:tmpl w:val="63A0605C"/>
    <w:lvl w:ilvl="0" w:tplc="1C28B0CE">
      <w:start w:val="165"/>
      <w:numFmt w:val="decimal"/>
      <w:lvlText w:val="%1."/>
      <w:lvlJc w:val="left"/>
      <w:pPr>
        <w:ind w:left="1276"/>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lvl w:ilvl="1" w:tplc="507AB4BE">
      <w:start w:val="1"/>
      <w:numFmt w:val="lowerLetter"/>
      <w:lvlText w:val="%2"/>
      <w:lvlJc w:val="left"/>
      <w:pPr>
        <w:ind w:left="1080"/>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lvl w:ilvl="2" w:tplc="84701D80">
      <w:start w:val="1"/>
      <w:numFmt w:val="lowerRoman"/>
      <w:lvlText w:val="%3"/>
      <w:lvlJc w:val="left"/>
      <w:pPr>
        <w:ind w:left="1800"/>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lvl w:ilvl="3" w:tplc="35CACD8E">
      <w:start w:val="1"/>
      <w:numFmt w:val="decimal"/>
      <w:lvlText w:val="%4"/>
      <w:lvlJc w:val="left"/>
      <w:pPr>
        <w:ind w:left="2520"/>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lvl w:ilvl="4" w:tplc="3C46B8E2">
      <w:start w:val="1"/>
      <w:numFmt w:val="lowerLetter"/>
      <w:lvlText w:val="%5"/>
      <w:lvlJc w:val="left"/>
      <w:pPr>
        <w:ind w:left="3240"/>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lvl w:ilvl="5" w:tplc="5FD62934">
      <w:start w:val="1"/>
      <w:numFmt w:val="lowerRoman"/>
      <w:lvlText w:val="%6"/>
      <w:lvlJc w:val="left"/>
      <w:pPr>
        <w:ind w:left="3960"/>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lvl w:ilvl="6" w:tplc="0554DDC8">
      <w:start w:val="1"/>
      <w:numFmt w:val="decimal"/>
      <w:lvlText w:val="%7"/>
      <w:lvlJc w:val="left"/>
      <w:pPr>
        <w:ind w:left="4680"/>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lvl w:ilvl="7" w:tplc="DD92AAC8">
      <w:start w:val="1"/>
      <w:numFmt w:val="lowerLetter"/>
      <w:lvlText w:val="%8"/>
      <w:lvlJc w:val="left"/>
      <w:pPr>
        <w:ind w:left="5400"/>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lvl w:ilvl="8" w:tplc="289A0790">
      <w:start w:val="1"/>
      <w:numFmt w:val="lowerRoman"/>
      <w:lvlText w:val="%9"/>
      <w:lvlJc w:val="left"/>
      <w:pPr>
        <w:ind w:left="6120"/>
      </w:pPr>
      <w:rPr>
        <w:rFonts w:ascii="Calibri" w:eastAsia="Calibri" w:hAnsi="Calibri" w:cs="Calibri"/>
        <w:b/>
        <w:bCs/>
        <w:i w:val="0"/>
        <w:strike w:val="0"/>
        <w:dstrike w:val="0"/>
        <w:color w:val="181717"/>
        <w:sz w:val="21"/>
        <w:szCs w:val="21"/>
        <w:u w:val="none" w:color="000000"/>
        <w:bdr w:val="none" w:sz="0" w:space="0" w:color="auto"/>
        <w:shd w:val="clear" w:color="auto" w:fill="auto"/>
        <w:vertAlign w:val="baseline"/>
      </w:rPr>
    </w:lvl>
  </w:abstractNum>
  <w:num w:numId="1" w16cid:durableId="94943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74"/>
    <w:rsid w:val="002B400E"/>
    <w:rsid w:val="00315074"/>
    <w:rsid w:val="004B61BC"/>
    <w:rsid w:val="00540C98"/>
    <w:rsid w:val="0069653F"/>
    <w:rsid w:val="0090667B"/>
    <w:rsid w:val="00923B55"/>
    <w:rsid w:val="00C94A25"/>
    <w:rsid w:val="00CC16EB"/>
    <w:rsid w:val="00D479DF"/>
    <w:rsid w:val="00FE4F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EA25"/>
  <w15:chartTrackingRefBased/>
  <w15:docId w15:val="{0F4D75FF-F4EF-4EA3-9025-9B51E4B1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150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150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1507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1507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1507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1507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1507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1507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1507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1507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1507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1507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1507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1507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1507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1507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1507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15074"/>
    <w:rPr>
      <w:rFonts w:eastAsiaTheme="majorEastAsia" w:cstheme="majorBidi"/>
      <w:color w:val="272727" w:themeColor="text1" w:themeTint="D8"/>
    </w:rPr>
  </w:style>
  <w:style w:type="paragraph" w:styleId="KonuBal">
    <w:name w:val="Title"/>
    <w:basedOn w:val="Normal"/>
    <w:next w:val="Normal"/>
    <w:link w:val="KonuBalChar"/>
    <w:uiPriority w:val="10"/>
    <w:qFormat/>
    <w:rsid w:val="00315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1507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1507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1507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1507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15074"/>
    <w:rPr>
      <w:i/>
      <w:iCs/>
      <w:color w:val="404040" w:themeColor="text1" w:themeTint="BF"/>
    </w:rPr>
  </w:style>
  <w:style w:type="paragraph" w:styleId="ListeParagraf">
    <w:name w:val="List Paragraph"/>
    <w:basedOn w:val="Normal"/>
    <w:uiPriority w:val="34"/>
    <w:qFormat/>
    <w:rsid w:val="00315074"/>
    <w:pPr>
      <w:ind w:left="720"/>
      <w:contextualSpacing/>
    </w:pPr>
  </w:style>
  <w:style w:type="character" w:styleId="GlVurgulama">
    <w:name w:val="Intense Emphasis"/>
    <w:basedOn w:val="VarsaylanParagrafYazTipi"/>
    <w:uiPriority w:val="21"/>
    <w:qFormat/>
    <w:rsid w:val="00315074"/>
    <w:rPr>
      <w:i/>
      <w:iCs/>
      <w:color w:val="2F5496" w:themeColor="accent1" w:themeShade="BF"/>
    </w:rPr>
  </w:style>
  <w:style w:type="paragraph" w:styleId="GlAlnt">
    <w:name w:val="Intense Quote"/>
    <w:basedOn w:val="Normal"/>
    <w:next w:val="Normal"/>
    <w:link w:val="GlAlntChar"/>
    <w:uiPriority w:val="30"/>
    <w:qFormat/>
    <w:rsid w:val="003150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15074"/>
    <w:rPr>
      <w:i/>
      <w:iCs/>
      <w:color w:val="2F5496" w:themeColor="accent1" w:themeShade="BF"/>
    </w:rPr>
  </w:style>
  <w:style w:type="character" w:styleId="GlBavuru">
    <w:name w:val="Intense Reference"/>
    <w:basedOn w:val="VarsaylanParagrafYazTipi"/>
    <w:uiPriority w:val="32"/>
    <w:qFormat/>
    <w:rsid w:val="00315074"/>
    <w:rPr>
      <w:b/>
      <w:bCs/>
      <w:smallCaps/>
      <w:color w:val="2F5496" w:themeColor="accent1" w:themeShade="BF"/>
      <w:spacing w:val="5"/>
    </w:rPr>
  </w:style>
  <w:style w:type="paragraph" w:customStyle="1" w:styleId="footnotedescription">
    <w:name w:val="footnote description"/>
    <w:next w:val="Normal"/>
    <w:link w:val="footnotedescriptionChar"/>
    <w:hidden/>
    <w:rsid w:val="00315074"/>
    <w:pPr>
      <w:spacing w:after="0" w:line="237" w:lineRule="auto"/>
      <w:ind w:left="283" w:hanging="283"/>
      <w:jc w:val="both"/>
    </w:pPr>
    <w:rPr>
      <w:rFonts w:ascii="Times New Roman" w:eastAsia="Times New Roman" w:hAnsi="Times New Roman" w:cs="Times New Roman"/>
      <w:i/>
      <w:color w:val="181717"/>
      <w:sz w:val="14"/>
      <w:szCs w:val="24"/>
      <w:lang w:eastAsia="tr-TR"/>
    </w:rPr>
  </w:style>
  <w:style w:type="character" w:customStyle="1" w:styleId="footnotedescriptionChar">
    <w:name w:val="footnote description Char"/>
    <w:link w:val="footnotedescription"/>
    <w:rsid w:val="00315074"/>
    <w:rPr>
      <w:rFonts w:ascii="Times New Roman" w:eastAsia="Times New Roman" w:hAnsi="Times New Roman" w:cs="Times New Roman"/>
      <w:i/>
      <w:color w:val="181717"/>
      <w:sz w:val="14"/>
      <w:szCs w:val="24"/>
      <w:lang w:eastAsia="tr-TR"/>
    </w:rPr>
  </w:style>
  <w:style w:type="character" w:customStyle="1" w:styleId="footnotemark">
    <w:name w:val="footnote mark"/>
    <w:hidden/>
    <w:rsid w:val="00315074"/>
    <w:rPr>
      <w:rFonts w:ascii="Times New Roman" w:eastAsia="Times New Roman" w:hAnsi="Times New Roman" w:cs="Times New Roman"/>
      <w:i/>
      <w:color w:val="181717"/>
      <w:sz w:val="1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494</Words>
  <Characters>2818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2</cp:revision>
  <dcterms:created xsi:type="dcterms:W3CDTF">2024-09-10T10:37:00Z</dcterms:created>
  <dcterms:modified xsi:type="dcterms:W3CDTF">2024-09-10T12:00:00Z</dcterms:modified>
</cp:coreProperties>
</file>