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65BEB" w14:textId="0E2F7676" w:rsidR="00BF5FF8" w:rsidRPr="00BF5FF8" w:rsidRDefault="00BF5FF8" w:rsidP="00BF5FF8">
      <w:r w:rsidRPr="00BF5FF8">
        <w:rPr>
          <w:b/>
          <w:bCs/>
        </w:rPr>
        <w:t>89</w:t>
      </w:r>
      <w:r w:rsidRPr="00BF5FF8">
        <w:t>. Her kim iyi amel getirirse, ona ondan daha hayırlısı vardır.</w:t>
      </w:r>
      <w:r>
        <w:t xml:space="preserve"> </w:t>
      </w:r>
      <w:r w:rsidRPr="00BF5FF8">
        <w:t>Onlar o gün korkudan emindirler.</w:t>
      </w:r>
    </w:p>
    <w:p w14:paraId="415A2D0A" w14:textId="2FD798B8" w:rsidR="00BF5FF8" w:rsidRPr="00BF5FF8" w:rsidRDefault="00BF5FF8" w:rsidP="00BF5FF8">
      <w:r w:rsidRPr="00BF5FF8">
        <w:rPr>
          <w:b/>
          <w:bCs/>
        </w:rPr>
        <w:t>90</w:t>
      </w:r>
      <w:r w:rsidRPr="00BF5FF8">
        <w:t>. Kimler de kötü amel getirirse, yüzüstü ateşe atılırlar. (Onlara),</w:t>
      </w:r>
      <w:r>
        <w:t xml:space="preserve"> </w:t>
      </w:r>
      <w:r w:rsidRPr="00BF5FF8">
        <w:t>“Ancak yaptıklarınızın karşılığını görüyorsunuz” (denir.)</w:t>
      </w:r>
    </w:p>
    <w:p w14:paraId="0124C504" w14:textId="57BBB72A" w:rsidR="00BF5FF8" w:rsidRPr="00BF5FF8" w:rsidRDefault="00BF5FF8" w:rsidP="00BF5FF8">
      <w:r w:rsidRPr="00BF5FF8">
        <w:rPr>
          <w:b/>
          <w:bCs/>
        </w:rPr>
        <w:t>91</w:t>
      </w:r>
      <w:r w:rsidRPr="00BF5FF8">
        <w:t xml:space="preserve">, </w:t>
      </w:r>
      <w:r w:rsidRPr="00BF5FF8">
        <w:rPr>
          <w:b/>
          <w:bCs/>
        </w:rPr>
        <w:t>92</w:t>
      </w:r>
      <w:r w:rsidRPr="00BF5FF8">
        <w:t>. De ki: “Bana ancak, bu beldenin (Mekke’nin); onu mukaddes</w:t>
      </w:r>
      <w:r>
        <w:t xml:space="preserve"> </w:t>
      </w:r>
      <w:r w:rsidRPr="00BF5FF8">
        <w:t>kılan ve her şey kendisine ait olan Rabbine kulluk</w:t>
      </w:r>
      <w:r>
        <w:t xml:space="preserve"> </w:t>
      </w:r>
      <w:r w:rsidRPr="00BF5FF8">
        <w:t xml:space="preserve">yapmam emredildi. Yine bana, </w:t>
      </w:r>
      <w:r w:rsidRPr="00BF5FF8">
        <w:t>Müslümanlardan</w:t>
      </w:r>
      <w:r w:rsidRPr="00BF5FF8">
        <w:t xml:space="preserve"> olmam ve</w:t>
      </w:r>
      <w:r>
        <w:t xml:space="preserve"> </w:t>
      </w:r>
      <w:r w:rsidRPr="00BF5FF8">
        <w:t>Kur’an’ı okumam emredildi.” Artık kim doğru yola girerse</w:t>
      </w:r>
      <w:r>
        <w:t xml:space="preserve"> </w:t>
      </w:r>
      <w:r w:rsidRPr="00BF5FF8">
        <w:t xml:space="preserve">yalnız kendisi için girer. Kim de doğru yoldan </w:t>
      </w:r>
      <w:r w:rsidRPr="00BF5FF8">
        <w:t>saparsa</w:t>
      </w:r>
      <w:r w:rsidRPr="00BF5FF8">
        <w:t xml:space="preserve"> de ki:</w:t>
      </w:r>
      <w:r>
        <w:t xml:space="preserve"> </w:t>
      </w:r>
      <w:r w:rsidRPr="00BF5FF8">
        <w:t>“Ben ancak uyarıcılardanım.”</w:t>
      </w:r>
    </w:p>
    <w:p w14:paraId="1B813ADB" w14:textId="4BFA99FE" w:rsidR="0098048B" w:rsidRDefault="00BF5FF8" w:rsidP="00BF5FF8">
      <w:r w:rsidRPr="00BF5FF8">
        <w:rPr>
          <w:b/>
          <w:bCs/>
        </w:rPr>
        <w:t>93</w:t>
      </w:r>
      <w:r w:rsidRPr="00BF5FF8">
        <w:t>. De ki: “</w:t>
      </w:r>
      <w:r w:rsidRPr="00BF5FF8">
        <w:t>Hamt</w:t>
      </w:r>
      <w:r w:rsidRPr="00BF5FF8">
        <w:t xml:space="preserve"> Allah’a mahsustur. O, </w:t>
      </w:r>
      <w:proofErr w:type="spellStart"/>
      <w:r w:rsidRPr="00BF5FF8">
        <w:t>âyetlerini</w:t>
      </w:r>
      <w:proofErr w:type="spellEnd"/>
      <w:r w:rsidRPr="00BF5FF8">
        <w:t xml:space="preserve"> size gösterecek</w:t>
      </w:r>
      <w:r>
        <w:t xml:space="preserve"> </w:t>
      </w:r>
      <w:r w:rsidRPr="00BF5FF8">
        <w:t>ve siz de onları tanıyacaksınız. Rabbin, yaptıklarınızdan</w:t>
      </w:r>
      <w:r>
        <w:t xml:space="preserve"> </w:t>
      </w:r>
      <w:r w:rsidRPr="00BF5FF8">
        <w:t>habersiz değildir.”</w:t>
      </w:r>
    </w:p>
    <w:p w14:paraId="324A5216" w14:textId="77777777" w:rsidR="00BF5FF8" w:rsidRPr="00BF5FF8" w:rsidRDefault="00BF5FF8" w:rsidP="00BF5FF8">
      <w:proofErr w:type="spellStart"/>
      <w:r w:rsidRPr="00BF5FF8">
        <w:t>Bismillâhirrahmânirrahîm</w:t>
      </w:r>
      <w:proofErr w:type="spellEnd"/>
      <w:r w:rsidRPr="00BF5FF8">
        <w:t>.</w:t>
      </w:r>
    </w:p>
    <w:p w14:paraId="683BEC62" w14:textId="77777777" w:rsidR="00BF5FF8" w:rsidRPr="00BF5FF8" w:rsidRDefault="00BF5FF8" w:rsidP="00BF5FF8">
      <w:r w:rsidRPr="00BF5FF8">
        <w:rPr>
          <w:b/>
          <w:bCs/>
        </w:rPr>
        <w:t xml:space="preserve">1. </w:t>
      </w:r>
      <w:r w:rsidRPr="00BF5FF8">
        <w:t>Tâ-Sîn-Mîm.</w:t>
      </w:r>
      <w:r w:rsidRPr="00BF5FF8">
        <w:rPr>
          <w:sz w:val="14"/>
          <w:szCs w:val="14"/>
        </w:rPr>
        <w:t>1</w:t>
      </w:r>
    </w:p>
    <w:p w14:paraId="5DE85600" w14:textId="358308A0" w:rsidR="00BF5FF8" w:rsidRPr="00BF5FF8" w:rsidRDefault="00BF5FF8" w:rsidP="00BF5FF8">
      <w:r w:rsidRPr="00BF5FF8">
        <w:rPr>
          <w:b/>
          <w:bCs/>
        </w:rPr>
        <w:t xml:space="preserve">2. </w:t>
      </w:r>
      <w:r w:rsidRPr="00BF5FF8">
        <w:t xml:space="preserve">Bunlar apaçık </w:t>
      </w:r>
      <w:r w:rsidRPr="00BF5FF8">
        <w:t>Kitap’ın</w:t>
      </w:r>
      <w:r w:rsidRPr="00BF5FF8">
        <w:t xml:space="preserve"> </w:t>
      </w:r>
      <w:proofErr w:type="spellStart"/>
      <w:r w:rsidRPr="00BF5FF8">
        <w:t>âyetleridir</w:t>
      </w:r>
      <w:proofErr w:type="spellEnd"/>
      <w:r w:rsidRPr="00BF5FF8">
        <w:t>.</w:t>
      </w:r>
    </w:p>
    <w:p w14:paraId="438FE96F" w14:textId="209C3C77" w:rsidR="00BF5FF8" w:rsidRPr="00BF5FF8" w:rsidRDefault="00BF5FF8" w:rsidP="00BF5FF8">
      <w:r w:rsidRPr="00BF5FF8">
        <w:rPr>
          <w:b/>
          <w:bCs/>
        </w:rPr>
        <w:t xml:space="preserve">3. </w:t>
      </w:r>
      <w:r w:rsidRPr="00BF5FF8">
        <w:t>İman eden bir kav</w:t>
      </w:r>
      <w:r>
        <w:t>i</w:t>
      </w:r>
      <w:r w:rsidRPr="00BF5FF8">
        <w:t>m için Mûsâ ile Firavun’un haberlerinden</w:t>
      </w:r>
      <w:r>
        <w:t xml:space="preserve"> </w:t>
      </w:r>
      <w:r w:rsidRPr="00BF5FF8">
        <w:t>bir kısmını sana gerçek olarak anlatacağız.</w:t>
      </w:r>
    </w:p>
    <w:p w14:paraId="708C996B" w14:textId="74FB7086" w:rsidR="00BF5FF8" w:rsidRPr="00BF5FF8" w:rsidRDefault="00BF5FF8" w:rsidP="00BF5FF8">
      <w:r w:rsidRPr="00BF5FF8">
        <w:rPr>
          <w:b/>
          <w:bCs/>
        </w:rPr>
        <w:t xml:space="preserve">4. </w:t>
      </w:r>
      <w:r w:rsidRPr="00BF5FF8">
        <w:t>Şüphe yok ki, Firavun yeryüzünde (ülkesinde) büyüklük</w:t>
      </w:r>
      <w:r>
        <w:t xml:space="preserve"> </w:t>
      </w:r>
      <w:r w:rsidRPr="00BF5FF8">
        <w:t>taslamış ve ora halkını sınıflara ayırmıştı. Onlardan bir kesimi</w:t>
      </w:r>
      <w:r>
        <w:t xml:space="preserve"> </w:t>
      </w:r>
      <w:r w:rsidRPr="00BF5FF8">
        <w:t>eziyor, oğullarını boğazlıyor, kadınlarını ise sağ bırakıyordu.</w:t>
      </w:r>
      <w:r>
        <w:t xml:space="preserve"> </w:t>
      </w:r>
      <w:r w:rsidRPr="00BF5FF8">
        <w:t>Şüphesiz o, bozgunculardandı.</w:t>
      </w:r>
    </w:p>
    <w:p w14:paraId="74CA09EE" w14:textId="672F6756" w:rsidR="00BF5FF8" w:rsidRDefault="00BF5FF8" w:rsidP="00BF5FF8">
      <w:r w:rsidRPr="00BF5FF8">
        <w:rPr>
          <w:b/>
          <w:bCs/>
        </w:rPr>
        <w:t xml:space="preserve">5. </w:t>
      </w:r>
      <w:r w:rsidRPr="00BF5FF8">
        <w:t>Biz ise, istiyorduk ki yeryüzünde ezilmekte olanlara lütufta</w:t>
      </w:r>
      <w:r>
        <w:t xml:space="preserve"> </w:t>
      </w:r>
      <w:r w:rsidRPr="00BF5FF8">
        <w:t>bulunalım, onları önderler yapalım ve onları varisler kılalım.</w:t>
      </w:r>
    </w:p>
    <w:p w14:paraId="23F64F36" w14:textId="1D9AA8EA" w:rsidR="00BF5FF8" w:rsidRDefault="00BF5FF8" w:rsidP="00BF5FF8">
      <w:pPr>
        <w:rPr>
          <w:i/>
          <w:iCs/>
          <w:sz w:val="18"/>
          <w:szCs w:val="18"/>
        </w:rPr>
      </w:pPr>
      <w:proofErr w:type="gramStart"/>
      <w:r w:rsidRPr="00BF5FF8">
        <w:rPr>
          <w:i/>
          <w:iCs/>
          <w:sz w:val="18"/>
          <w:szCs w:val="18"/>
        </w:rPr>
        <w:t>1 .</w:t>
      </w:r>
      <w:proofErr w:type="gramEnd"/>
      <w:r w:rsidRPr="00BF5FF8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BF5FF8">
        <w:rPr>
          <w:i/>
          <w:iCs/>
          <w:sz w:val="18"/>
          <w:szCs w:val="18"/>
        </w:rPr>
        <w:t>sûresinin</w:t>
      </w:r>
      <w:proofErr w:type="spellEnd"/>
      <w:r w:rsidRPr="00BF5FF8">
        <w:rPr>
          <w:i/>
          <w:iCs/>
          <w:sz w:val="18"/>
          <w:szCs w:val="18"/>
        </w:rPr>
        <w:t xml:space="preserve"> ilk </w:t>
      </w:r>
      <w:proofErr w:type="spellStart"/>
      <w:r w:rsidRPr="00BF5FF8">
        <w:rPr>
          <w:i/>
          <w:iCs/>
          <w:sz w:val="18"/>
          <w:szCs w:val="18"/>
        </w:rPr>
        <w:t>âyetinin</w:t>
      </w:r>
      <w:proofErr w:type="spellEnd"/>
      <w:r w:rsidRPr="00BF5FF8">
        <w:rPr>
          <w:i/>
          <w:iCs/>
          <w:sz w:val="18"/>
          <w:szCs w:val="18"/>
        </w:rPr>
        <w:t xml:space="preserve"> dipnotuna bakınız.</w:t>
      </w:r>
    </w:p>
    <w:p w14:paraId="3C9B45A8" w14:textId="77777777" w:rsidR="00BF5FF8" w:rsidRPr="00BF5FF8" w:rsidRDefault="00BF5FF8" w:rsidP="00BF5FF8">
      <w:pPr>
        <w:rPr>
          <w:sz w:val="18"/>
          <w:szCs w:val="18"/>
        </w:rPr>
      </w:pPr>
    </w:p>
    <w:sectPr w:rsidR="00BF5FF8" w:rsidRPr="00BF5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F8"/>
    <w:rsid w:val="00614942"/>
    <w:rsid w:val="0098048B"/>
    <w:rsid w:val="00B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A619"/>
  <w15:chartTrackingRefBased/>
  <w15:docId w15:val="{77AE3CB4-7BAD-457C-81DF-804FE23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5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5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5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5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5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5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5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5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5F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5F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5F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5F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5F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5F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5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5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5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5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5F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5F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5FF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5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5F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5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2024-09-16T10:48:00Z</dcterms:created>
  <dcterms:modified xsi:type="dcterms:W3CDTF">2024-09-16T10:50:00Z</dcterms:modified>
</cp:coreProperties>
</file>