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F77B3" w14:textId="77777777" w:rsidR="009F3151" w:rsidRDefault="009F3151" w:rsidP="009F3151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9F3151">
        <w:rPr>
          <w:b/>
          <w:bCs/>
        </w:rPr>
        <w:t xml:space="preserve">20. </w:t>
      </w:r>
      <w:r w:rsidRPr="009F3151">
        <w:t xml:space="preserve">İnananlar, “Keşke bir </w:t>
      </w:r>
      <w:proofErr w:type="spellStart"/>
      <w:r w:rsidRPr="009F3151">
        <w:t>sûre</w:t>
      </w:r>
      <w:proofErr w:type="spellEnd"/>
      <w:r w:rsidRPr="009F3151">
        <w:t xml:space="preserve"> indirilse!” derler. Fakat hükmü</w:t>
      </w:r>
      <w:r>
        <w:t xml:space="preserve"> </w:t>
      </w:r>
      <w:r w:rsidRPr="009F3151">
        <w:t xml:space="preserve">apaçık bir </w:t>
      </w:r>
      <w:proofErr w:type="spellStart"/>
      <w:r w:rsidRPr="009F3151">
        <w:t>sûre</w:t>
      </w:r>
      <w:proofErr w:type="spellEnd"/>
      <w:r w:rsidRPr="009F3151">
        <w:t xml:space="preserve"> indirilip de onda savaştan söz edilince; kalplerinde</w:t>
      </w:r>
      <w:r>
        <w:t xml:space="preserve"> </w:t>
      </w:r>
      <w:r w:rsidRPr="009F3151">
        <w:t>hastalık olanların, ölüm baygınlığına girmiş kimsenin</w:t>
      </w:r>
      <w:r>
        <w:t xml:space="preserve"> </w:t>
      </w:r>
      <w:r w:rsidRPr="009F3151">
        <w:t>bakışı gibi sana baktıklarını görürsün. O da onlara pek</w:t>
      </w:r>
      <w:r>
        <w:t xml:space="preserve"> </w:t>
      </w:r>
      <w:r w:rsidRPr="009F3151">
        <w:t>yakındır.</w:t>
      </w:r>
      <w:r w:rsidRPr="009F3151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16FEDEB9" w14:textId="37713E2E" w:rsidR="009F3151" w:rsidRPr="009F3151" w:rsidRDefault="009F3151" w:rsidP="009F3151">
      <w:r w:rsidRPr="009F3151">
        <w:rPr>
          <w:b/>
          <w:bCs/>
        </w:rPr>
        <w:t xml:space="preserve">21. </w:t>
      </w:r>
      <w:r w:rsidRPr="009F3151">
        <w:t>İtaat ve güzel bir söz onlar için daha hayırlıdır. İş ciddileşince</w:t>
      </w:r>
      <w:r>
        <w:t xml:space="preserve"> </w:t>
      </w:r>
      <w:r w:rsidRPr="009F3151">
        <w:t>Allah’a verdikleri söze bağlı kalsalardı, elbette kendileri</w:t>
      </w:r>
      <w:r>
        <w:t xml:space="preserve"> </w:t>
      </w:r>
      <w:r w:rsidRPr="009F3151">
        <w:t>için daha iyi olurdu.</w:t>
      </w:r>
    </w:p>
    <w:p w14:paraId="54E31E19" w14:textId="443D2661" w:rsidR="009F3151" w:rsidRPr="009F3151" w:rsidRDefault="009F3151" w:rsidP="009F3151">
      <w:r w:rsidRPr="009F3151">
        <w:rPr>
          <w:b/>
          <w:bCs/>
        </w:rPr>
        <w:t xml:space="preserve">22. </w:t>
      </w:r>
      <w:r w:rsidRPr="009F3151">
        <w:t>Demek, yüz çevirdiğinizde</w:t>
      </w:r>
      <w:r w:rsidRPr="009F3151">
        <w:rPr>
          <w:sz w:val="14"/>
          <w:szCs w:val="14"/>
        </w:rPr>
        <w:t>4</w:t>
      </w:r>
      <w:r w:rsidRPr="009F3151">
        <w:t xml:space="preserve"> yeryüzünde bozgunculuk çıkaracak</w:t>
      </w:r>
      <w:r>
        <w:t xml:space="preserve"> </w:t>
      </w:r>
      <w:r w:rsidRPr="009F3151">
        <w:t>ve akrabalık bağlarını koparacaksınız, öyle mi?</w:t>
      </w:r>
    </w:p>
    <w:p w14:paraId="1ADE6551" w14:textId="153BFB2B" w:rsidR="009F3151" w:rsidRPr="009F3151" w:rsidRDefault="009F3151" w:rsidP="009F3151">
      <w:r w:rsidRPr="009F3151">
        <w:rPr>
          <w:b/>
          <w:bCs/>
        </w:rPr>
        <w:t xml:space="preserve">23. </w:t>
      </w:r>
      <w:r w:rsidRPr="009F3151">
        <w:t>İşte onlar, Allah’ın lanetleyip, (gerçeğe karşı) kulaklarını sağır,</w:t>
      </w:r>
      <w:r>
        <w:t xml:space="preserve"> </w:t>
      </w:r>
      <w:r w:rsidRPr="009F3151">
        <w:t>gözlerini kör ettiği kimselerdir.</w:t>
      </w:r>
      <w:r w:rsidRPr="009F3151">
        <w:rPr>
          <w:sz w:val="14"/>
          <w:szCs w:val="14"/>
        </w:rPr>
        <w:t>5</w:t>
      </w:r>
    </w:p>
    <w:p w14:paraId="484F8D45" w14:textId="0371032B" w:rsidR="009F3151" w:rsidRPr="009F3151" w:rsidRDefault="009F3151" w:rsidP="009F3151">
      <w:r w:rsidRPr="009F3151">
        <w:rPr>
          <w:b/>
          <w:bCs/>
        </w:rPr>
        <w:t xml:space="preserve">24. </w:t>
      </w:r>
      <w:r w:rsidRPr="009F3151">
        <w:t>Onlar Kur’an’ı düşünmüyorlar mı? Yoksa kalplerin üzerinde</w:t>
      </w:r>
      <w:r>
        <w:t xml:space="preserve"> </w:t>
      </w:r>
      <w:r w:rsidRPr="009F3151">
        <w:t>kilitleri mi var?</w:t>
      </w:r>
    </w:p>
    <w:p w14:paraId="3938DA4C" w14:textId="2382671E" w:rsidR="009F3151" w:rsidRPr="009F3151" w:rsidRDefault="009F3151" w:rsidP="009F3151">
      <w:r w:rsidRPr="009F3151">
        <w:rPr>
          <w:b/>
          <w:bCs/>
        </w:rPr>
        <w:t xml:space="preserve">25. </w:t>
      </w:r>
      <w:r w:rsidRPr="009F3151">
        <w:t>Kendileri için hidayet yolu belli olduktan sonra gerisingeri</w:t>
      </w:r>
      <w:r>
        <w:t xml:space="preserve"> </w:t>
      </w:r>
      <w:r w:rsidRPr="009F3151">
        <w:t xml:space="preserve">dönenleri, şeytan aldatıp peşinden </w:t>
      </w:r>
      <w:r w:rsidRPr="009F3151">
        <w:t>sürüklemiş</w:t>
      </w:r>
      <w:r w:rsidRPr="009F3151">
        <w:t xml:space="preserve"> ve kendilerini</w:t>
      </w:r>
      <w:r>
        <w:t xml:space="preserve"> </w:t>
      </w:r>
      <w:r w:rsidRPr="009F3151">
        <w:t>boş ümitlere düşürmüştür.</w:t>
      </w:r>
    </w:p>
    <w:p w14:paraId="0B2F2F70" w14:textId="79F0DD89" w:rsidR="009F3151" w:rsidRPr="009F3151" w:rsidRDefault="009F3151" w:rsidP="009F3151">
      <w:r w:rsidRPr="009F3151">
        <w:rPr>
          <w:b/>
          <w:bCs/>
        </w:rPr>
        <w:t xml:space="preserve">26. </w:t>
      </w:r>
      <w:r w:rsidRPr="009F3151">
        <w:t>Bu, münafıkların, Allah’ın indirdiğini beğenmeyen kimselere,</w:t>
      </w:r>
      <w:r>
        <w:t xml:space="preserve"> </w:t>
      </w:r>
      <w:r w:rsidRPr="009F3151">
        <w:t>“Bazı işlerde size itaat edeceğiz” demelerindendir. Allah,</w:t>
      </w:r>
      <w:r>
        <w:t xml:space="preserve"> </w:t>
      </w:r>
      <w:r w:rsidRPr="009F3151">
        <w:t>onların gizlice konuşmalarını bilir.</w:t>
      </w:r>
    </w:p>
    <w:p w14:paraId="058B1D71" w14:textId="641B38ED" w:rsidR="009F3151" w:rsidRPr="009F3151" w:rsidRDefault="009F3151" w:rsidP="009F3151">
      <w:r w:rsidRPr="009F3151">
        <w:rPr>
          <w:b/>
          <w:bCs/>
        </w:rPr>
        <w:t xml:space="preserve">27. </w:t>
      </w:r>
      <w:r w:rsidRPr="009F3151">
        <w:t>Melekler, onların yüzlerine ve sırtlarına vurarak canlarını</w:t>
      </w:r>
      <w:r>
        <w:t xml:space="preserve"> </w:t>
      </w:r>
      <w:r w:rsidRPr="009F3151">
        <w:t>alırken hâlleri nasıl olacak?</w:t>
      </w:r>
    </w:p>
    <w:p w14:paraId="51A663C1" w14:textId="7E7087C1" w:rsidR="009F3151" w:rsidRPr="009F3151" w:rsidRDefault="009F3151" w:rsidP="009F3151">
      <w:r w:rsidRPr="009F3151">
        <w:rPr>
          <w:b/>
          <w:bCs/>
        </w:rPr>
        <w:t xml:space="preserve">28. </w:t>
      </w:r>
      <w:r w:rsidRPr="009F3151">
        <w:t xml:space="preserve">Bu, Allah’ı </w:t>
      </w:r>
      <w:proofErr w:type="spellStart"/>
      <w:r w:rsidRPr="009F3151">
        <w:t>gazaplandıran</w:t>
      </w:r>
      <w:proofErr w:type="spellEnd"/>
      <w:r w:rsidRPr="009F3151">
        <w:t xml:space="preserve"> şeylere uydukları ve O’nun hoşnut</w:t>
      </w:r>
      <w:r>
        <w:t xml:space="preserve"> </w:t>
      </w:r>
      <w:r w:rsidRPr="009F3151">
        <w:t>olduğu şeyleri beğenmedikleri içindir. Allah da onların</w:t>
      </w:r>
      <w:r>
        <w:t xml:space="preserve"> </w:t>
      </w:r>
      <w:r w:rsidRPr="009F3151">
        <w:t>amellerini boşa çıkarmıştır.</w:t>
      </w:r>
    </w:p>
    <w:p w14:paraId="3D406EC9" w14:textId="45FEC922" w:rsidR="00480F96" w:rsidRDefault="009F3151" w:rsidP="009F3151">
      <w:r w:rsidRPr="009F3151">
        <w:rPr>
          <w:b/>
          <w:bCs/>
        </w:rPr>
        <w:t xml:space="preserve">29. </w:t>
      </w:r>
      <w:r w:rsidRPr="009F3151">
        <w:t>Yoksa, kalplerinde hastalık olanlar Allah’ın, kinlerini ortaya</w:t>
      </w:r>
      <w:r>
        <w:t xml:space="preserve"> </w:t>
      </w:r>
      <w:r w:rsidRPr="009F3151">
        <w:t>çıkarmayacağını mı sandılar?</w:t>
      </w:r>
    </w:p>
    <w:p w14:paraId="18A657B0" w14:textId="3E19DD62" w:rsidR="009F3151" w:rsidRPr="009F3151" w:rsidRDefault="009F3151" w:rsidP="009F3151">
      <w:pPr>
        <w:rPr>
          <w:i/>
          <w:iCs/>
          <w:sz w:val="18"/>
          <w:szCs w:val="18"/>
        </w:rPr>
      </w:pPr>
      <w:proofErr w:type="gramStart"/>
      <w:r w:rsidRPr="009F3151">
        <w:rPr>
          <w:i/>
          <w:iCs/>
          <w:sz w:val="18"/>
          <w:szCs w:val="18"/>
        </w:rPr>
        <w:t>4 .</w:t>
      </w:r>
      <w:proofErr w:type="gramEnd"/>
      <w:r w:rsidRPr="009F3151">
        <w:rPr>
          <w:i/>
          <w:iCs/>
          <w:sz w:val="18"/>
          <w:szCs w:val="18"/>
        </w:rPr>
        <w:t xml:space="preserve"> </w:t>
      </w:r>
      <w:proofErr w:type="spellStart"/>
      <w:r w:rsidRPr="009F3151">
        <w:rPr>
          <w:i/>
          <w:iCs/>
          <w:sz w:val="18"/>
          <w:szCs w:val="18"/>
        </w:rPr>
        <w:t>Âyetin</w:t>
      </w:r>
      <w:proofErr w:type="spellEnd"/>
      <w:r w:rsidRPr="009F3151">
        <w:rPr>
          <w:i/>
          <w:iCs/>
          <w:sz w:val="18"/>
          <w:szCs w:val="18"/>
        </w:rPr>
        <w:t xml:space="preserve"> baş tarafı, “Demek, başa </w:t>
      </w:r>
      <w:r w:rsidRPr="009F3151">
        <w:rPr>
          <w:i/>
          <w:iCs/>
          <w:sz w:val="18"/>
          <w:szCs w:val="18"/>
        </w:rPr>
        <w:t>geçtiğinizde...</w:t>
      </w:r>
      <w:r w:rsidRPr="009F3151">
        <w:rPr>
          <w:i/>
          <w:iCs/>
          <w:sz w:val="18"/>
          <w:szCs w:val="18"/>
        </w:rPr>
        <w:t>” şeklinde de tercüme edilebilir.</w:t>
      </w:r>
    </w:p>
    <w:p w14:paraId="01AC7597" w14:textId="0A448BDE" w:rsidR="009F3151" w:rsidRDefault="009F3151" w:rsidP="009F3151">
      <w:pPr>
        <w:rPr>
          <w:i/>
          <w:iCs/>
          <w:sz w:val="18"/>
          <w:szCs w:val="18"/>
        </w:rPr>
      </w:pPr>
      <w:proofErr w:type="gramStart"/>
      <w:r w:rsidRPr="009F3151">
        <w:rPr>
          <w:i/>
          <w:iCs/>
          <w:sz w:val="18"/>
          <w:szCs w:val="18"/>
        </w:rPr>
        <w:t>5</w:t>
      </w:r>
      <w:r>
        <w:rPr>
          <w:i/>
          <w:iCs/>
          <w:sz w:val="18"/>
          <w:szCs w:val="18"/>
        </w:rPr>
        <w:t xml:space="preserve"> </w:t>
      </w:r>
      <w:r w:rsidRPr="009F3151">
        <w:rPr>
          <w:i/>
          <w:iCs/>
          <w:sz w:val="18"/>
          <w:szCs w:val="18"/>
        </w:rPr>
        <w:t>.</w:t>
      </w:r>
      <w:proofErr w:type="gramEnd"/>
      <w:r w:rsidRPr="009F3151">
        <w:rPr>
          <w:i/>
          <w:iCs/>
          <w:sz w:val="18"/>
          <w:szCs w:val="18"/>
        </w:rPr>
        <w:t xml:space="preserve"> Allah’ın, gerçek karşısında bazı kimseleri “sağır ve kör” kılması, onları iradelerini bu</w:t>
      </w:r>
      <w:r>
        <w:rPr>
          <w:i/>
          <w:iCs/>
          <w:sz w:val="18"/>
          <w:szCs w:val="18"/>
        </w:rPr>
        <w:t xml:space="preserve"> </w:t>
      </w:r>
      <w:r w:rsidRPr="009F3151">
        <w:rPr>
          <w:i/>
          <w:iCs/>
          <w:sz w:val="18"/>
          <w:szCs w:val="18"/>
        </w:rPr>
        <w:t>yönde kullanmış olmaları ve Allah’ın da bu iradenin gereğini yaratmış olması anlamındadır.</w:t>
      </w:r>
      <w:r>
        <w:rPr>
          <w:i/>
          <w:iCs/>
          <w:sz w:val="18"/>
          <w:szCs w:val="18"/>
        </w:rPr>
        <w:t xml:space="preserve"> </w:t>
      </w:r>
      <w:r w:rsidRPr="009F3151">
        <w:rPr>
          <w:i/>
          <w:iCs/>
          <w:sz w:val="18"/>
          <w:szCs w:val="18"/>
        </w:rPr>
        <w:t>Allah’ın birliğini ve onun gerektirdiği diğer gerçekleri görmeyen, işitmeyen kimselerin</w:t>
      </w:r>
      <w:r>
        <w:rPr>
          <w:i/>
          <w:iCs/>
          <w:sz w:val="18"/>
          <w:szCs w:val="18"/>
        </w:rPr>
        <w:t xml:space="preserve"> </w:t>
      </w:r>
      <w:r w:rsidRPr="009F3151">
        <w:rPr>
          <w:i/>
          <w:iCs/>
          <w:sz w:val="18"/>
          <w:szCs w:val="18"/>
        </w:rPr>
        <w:t>“kör” ve “sağır” diye nitelenmeleri mecazi bir anlatım tarzıdır. Kur’an’a göre asıl körlük</w:t>
      </w:r>
      <w:r>
        <w:rPr>
          <w:i/>
          <w:iCs/>
          <w:sz w:val="18"/>
          <w:szCs w:val="18"/>
        </w:rPr>
        <w:t xml:space="preserve"> </w:t>
      </w:r>
      <w:r w:rsidRPr="009F3151">
        <w:rPr>
          <w:i/>
          <w:iCs/>
          <w:sz w:val="18"/>
          <w:szCs w:val="18"/>
        </w:rPr>
        <w:t>“göz” adı verilen organın iş görmez hale gelmesi değil, kalbin işlevsiz hale gelmesi</w:t>
      </w:r>
      <w:r>
        <w:rPr>
          <w:i/>
          <w:iCs/>
          <w:sz w:val="18"/>
          <w:szCs w:val="18"/>
        </w:rPr>
        <w:t xml:space="preserve"> </w:t>
      </w:r>
      <w:r w:rsidRPr="009F3151">
        <w:rPr>
          <w:i/>
          <w:iCs/>
          <w:sz w:val="18"/>
          <w:szCs w:val="18"/>
        </w:rPr>
        <w:t>(</w:t>
      </w:r>
      <w:proofErr w:type="spellStart"/>
      <w:r w:rsidRPr="009F3151">
        <w:rPr>
          <w:i/>
          <w:iCs/>
          <w:sz w:val="18"/>
          <w:szCs w:val="18"/>
        </w:rPr>
        <w:t>Bkz</w:t>
      </w:r>
      <w:proofErr w:type="spellEnd"/>
      <w:r w:rsidRPr="009F3151">
        <w:rPr>
          <w:i/>
          <w:iCs/>
          <w:sz w:val="18"/>
          <w:szCs w:val="18"/>
        </w:rPr>
        <w:t xml:space="preserve">: Hac, 22/46), yani insanın, akıl ve vicdan </w:t>
      </w:r>
      <w:r w:rsidRPr="009F3151">
        <w:rPr>
          <w:i/>
          <w:iCs/>
          <w:sz w:val="18"/>
          <w:szCs w:val="18"/>
        </w:rPr>
        <w:t>iş birliği</w:t>
      </w:r>
      <w:r w:rsidRPr="009F3151">
        <w:rPr>
          <w:i/>
          <w:iCs/>
          <w:sz w:val="18"/>
          <w:szCs w:val="18"/>
        </w:rPr>
        <w:t xml:space="preserve"> sayesinde elde ettiği iç görü</w:t>
      </w:r>
      <w:r>
        <w:rPr>
          <w:i/>
          <w:iCs/>
          <w:sz w:val="18"/>
          <w:szCs w:val="18"/>
        </w:rPr>
        <w:t xml:space="preserve"> </w:t>
      </w:r>
      <w:r w:rsidRPr="009F3151">
        <w:rPr>
          <w:i/>
          <w:iCs/>
          <w:sz w:val="18"/>
          <w:szCs w:val="18"/>
        </w:rPr>
        <w:t>niteliğini yitirmesidir.</w:t>
      </w:r>
    </w:p>
    <w:p w14:paraId="1F440988" w14:textId="77777777" w:rsidR="009F3151" w:rsidRPr="009F3151" w:rsidRDefault="009F3151" w:rsidP="009F3151">
      <w:pPr>
        <w:rPr>
          <w:i/>
          <w:iCs/>
          <w:sz w:val="18"/>
          <w:szCs w:val="18"/>
        </w:rPr>
      </w:pPr>
    </w:p>
    <w:sectPr w:rsidR="009F3151" w:rsidRPr="009F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51"/>
    <w:rsid w:val="0008335C"/>
    <w:rsid w:val="00480F96"/>
    <w:rsid w:val="009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A1D5"/>
  <w15:chartTrackingRefBased/>
  <w15:docId w15:val="{52A08C22-A185-422C-8037-E1E5868E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F3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F3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F31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F3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F31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F3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F3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F3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F3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F31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F3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F31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F315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F315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F315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F315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F315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F315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F3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F3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F3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F3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F3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F315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F315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F315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F31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F315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F31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2024-09-17T15:53:00Z</dcterms:created>
  <dcterms:modified xsi:type="dcterms:W3CDTF">2024-09-17T15:54:00Z</dcterms:modified>
</cp:coreProperties>
</file>